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DDE2" w14:textId="77777777" w:rsidR="00E21F24" w:rsidRDefault="00E21F24" w:rsidP="00BF35A7">
      <w:pPr>
        <w:tabs>
          <w:tab w:val="left" w:pos="1425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1BDED37" w14:textId="41A04778" w:rsidR="00C35622" w:rsidRPr="007F6CDE" w:rsidRDefault="00E21F24" w:rsidP="00BF35A7">
      <w:pPr>
        <w:tabs>
          <w:tab w:val="left" w:pos="1425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 16-01-</w:t>
      </w:r>
      <w:r w:rsidR="00C17AEF">
        <w:rPr>
          <w:rFonts w:ascii="Arial" w:hAnsi="Arial" w:cs="Arial"/>
          <w:b/>
          <w:sz w:val="28"/>
          <w:szCs w:val="28"/>
        </w:rPr>
        <w:t>17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5C88">
        <w:rPr>
          <w:rFonts w:ascii="Arial" w:hAnsi="Arial" w:cs="Arial"/>
          <w:b/>
          <w:sz w:val="28"/>
          <w:szCs w:val="28"/>
        </w:rPr>
        <w:t>Formato</w:t>
      </w:r>
      <w:r w:rsidR="00080A80" w:rsidRPr="007F6CDE">
        <w:rPr>
          <w:rFonts w:ascii="Arial" w:hAnsi="Arial" w:cs="Arial"/>
          <w:b/>
          <w:sz w:val="28"/>
          <w:szCs w:val="28"/>
        </w:rPr>
        <w:t xml:space="preserve"> para </w:t>
      </w:r>
      <w:r w:rsidR="00877558">
        <w:rPr>
          <w:rFonts w:ascii="Arial" w:hAnsi="Arial" w:cs="Arial"/>
          <w:b/>
          <w:sz w:val="28"/>
          <w:szCs w:val="28"/>
        </w:rPr>
        <w:t xml:space="preserve">la </w:t>
      </w:r>
      <w:r w:rsidR="00080A80" w:rsidRPr="007F6CDE">
        <w:rPr>
          <w:rFonts w:ascii="Arial" w:hAnsi="Arial" w:cs="Arial"/>
          <w:b/>
          <w:sz w:val="28"/>
          <w:szCs w:val="28"/>
        </w:rPr>
        <w:t>el</w:t>
      </w:r>
      <w:r w:rsidR="003F61EA" w:rsidRPr="007F6CDE">
        <w:rPr>
          <w:rFonts w:ascii="Arial" w:hAnsi="Arial" w:cs="Arial"/>
          <w:b/>
          <w:sz w:val="28"/>
          <w:szCs w:val="28"/>
        </w:rPr>
        <w:t>aboración del</w:t>
      </w:r>
      <w:r w:rsidR="00080A80" w:rsidRPr="007F6CDE">
        <w:rPr>
          <w:rFonts w:ascii="Arial" w:hAnsi="Arial" w:cs="Arial"/>
          <w:b/>
          <w:sz w:val="28"/>
          <w:szCs w:val="28"/>
        </w:rPr>
        <w:t xml:space="preserve"> </w:t>
      </w:r>
      <w:r w:rsidR="000C3F4A" w:rsidRPr="007F6CDE">
        <w:rPr>
          <w:rFonts w:ascii="Arial" w:hAnsi="Arial" w:cs="Arial"/>
          <w:b/>
          <w:sz w:val="28"/>
          <w:szCs w:val="28"/>
        </w:rPr>
        <w:t>p</w:t>
      </w:r>
      <w:r w:rsidR="00080A80" w:rsidRPr="007F6CDE">
        <w:rPr>
          <w:rFonts w:ascii="Arial" w:hAnsi="Arial" w:cs="Arial"/>
          <w:b/>
          <w:sz w:val="28"/>
          <w:szCs w:val="28"/>
        </w:rPr>
        <w:t>r</w:t>
      </w:r>
      <w:r w:rsidR="00393776">
        <w:rPr>
          <w:rFonts w:ascii="Arial" w:hAnsi="Arial" w:cs="Arial"/>
          <w:b/>
          <w:sz w:val="28"/>
          <w:szCs w:val="28"/>
        </w:rPr>
        <w:t>ocedimiento</w:t>
      </w:r>
      <w:r w:rsidR="003F61EA" w:rsidRPr="007F6CDE">
        <w:rPr>
          <w:rFonts w:ascii="Arial" w:hAnsi="Arial" w:cs="Arial"/>
          <w:b/>
          <w:sz w:val="28"/>
          <w:szCs w:val="28"/>
        </w:rPr>
        <w:t xml:space="preserve"> </w:t>
      </w:r>
      <w:r w:rsidR="00877558">
        <w:rPr>
          <w:rFonts w:ascii="Arial" w:hAnsi="Arial" w:cs="Arial"/>
          <w:b/>
          <w:sz w:val="28"/>
          <w:szCs w:val="28"/>
        </w:rPr>
        <w:t>de manejo de choque anafiláctico en farmacias</w:t>
      </w:r>
    </w:p>
    <w:p w14:paraId="4E4240B4" w14:textId="77777777" w:rsidR="00080A80" w:rsidRPr="007F6CDE" w:rsidRDefault="00080A80" w:rsidP="00BF35A7">
      <w:pPr>
        <w:tabs>
          <w:tab w:val="left" w:pos="1425"/>
        </w:tabs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5EB91E8B" w14:textId="37F9E357" w:rsidR="00C35622" w:rsidRPr="005D7BF7" w:rsidRDefault="008B0F46" w:rsidP="00E21F24">
      <w:pPr>
        <w:spacing w:line="276" w:lineRule="auto"/>
        <w:ind w:firstLine="567"/>
        <w:jc w:val="both"/>
        <w:rPr>
          <w:rFonts w:ascii="Arial" w:hAnsi="Arial" w:cs="Arial"/>
        </w:rPr>
      </w:pPr>
      <w:r w:rsidRPr="005D7BF7">
        <w:rPr>
          <w:rFonts w:ascii="Arial" w:hAnsi="Arial" w:cs="Arial"/>
        </w:rPr>
        <w:t xml:space="preserve">El Colegio de Farmacéuticos de Costa Rica pone a disposición de todos los profesionales farmacéuticos </w:t>
      </w:r>
      <w:r w:rsidR="00EE5C88" w:rsidRPr="005D7BF7">
        <w:rPr>
          <w:rFonts w:ascii="Arial" w:hAnsi="Arial" w:cs="Arial"/>
        </w:rPr>
        <w:t>el</w:t>
      </w:r>
      <w:r w:rsidRPr="005D7BF7">
        <w:rPr>
          <w:rFonts w:ascii="Arial" w:hAnsi="Arial" w:cs="Arial"/>
        </w:rPr>
        <w:t xml:space="preserve"> “</w:t>
      </w:r>
      <w:r w:rsidR="00877558" w:rsidRPr="005D7BF7">
        <w:rPr>
          <w:rFonts w:ascii="Arial" w:hAnsi="Arial" w:cs="Arial"/>
        </w:rPr>
        <w:t>Formato para la elaboración del procedimiento de manejo de choque anafiláctico en farmacias</w:t>
      </w:r>
      <w:r w:rsidRPr="005D7BF7">
        <w:rPr>
          <w:rFonts w:ascii="Arial" w:hAnsi="Arial" w:cs="Arial"/>
        </w:rPr>
        <w:t>”, c</w:t>
      </w:r>
      <w:r w:rsidR="00C35622" w:rsidRPr="005D7BF7">
        <w:rPr>
          <w:rFonts w:ascii="Arial" w:hAnsi="Arial" w:cs="Arial"/>
        </w:rPr>
        <w:t xml:space="preserve">on el propósito de brindar una herramienta y guía clara para contar con un </w:t>
      </w:r>
      <w:r w:rsidR="0039027F">
        <w:rPr>
          <w:rFonts w:ascii="Arial" w:hAnsi="Arial" w:cs="Arial"/>
        </w:rPr>
        <w:t>“P</w:t>
      </w:r>
      <w:r w:rsidR="00C35622" w:rsidRPr="005D7BF7">
        <w:rPr>
          <w:rFonts w:ascii="Arial" w:hAnsi="Arial" w:cs="Arial"/>
        </w:rPr>
        <w:t>ro</w:t>
      </w:r>
      <w:r w:rsidR="00393776" w:rsidRPr="005D7BF7">
        <w:rPr>
          <w:rFonts w:ascii="Arial" w:hAnsi="Arial" w:cs="Arial"/>
        </w:rPr>
        <w:t>cedimiento</w:t>
      </w:r>
      <w:r w:rsidR="00FA43E9">
        <w:rPr>
          <w:rFonts w:ascii="Arial" w:hAnsi="Arial" w:cs="Arial"/>
        </w:rPr>
        <w:t xml:space="preserve"> de </w:t>
      </w:r>
      <w:r w:rsidR="00877558" w:rsidRPr="005D7BF7">
        <w:rPr>
          <w:rFonts w:ascii="Arial" w:hAnsi="Arial" w:cs="Arial"/>
        </w:rPr>
        <w:t xml:space="preserve">manejo de choque anafiláctico en </w:t>
      </w:r>
      <w:r w:rsidR="004210C2" w:rsidRPr="005D7BF7">
        <w:rPr>
          <w:rFonts w:ascii="Arial" w:hAnsi="Arial" w:cs="Arial"/>
        </w:rPr>
        <w:t xml:space="preserve">la </w:t>
      </w:r>
      <w:r w:rsidR="00877558" w:rsidRPr="005D7BF7">
        <w:rPr>
          <w:rFonts w:ascii="Arial" w:hAnsi="Arial" w:cs="Arial"/>
        </w:rPr>
        <w:t>farmacia</w:t>
      </w:r>
      <w:r w:rsidR="00C35622" w:rsidRPr="005D7BF7">
        <w:rPr>
          <w:rFonts w:ascii="Arial" w:hAnsi="Arial" w:cs="Arial"/>
        </w:rPr>
        <w:t>”</w:t>
      </w:r>
      <w:r w:rsidR="00EE7951" w:rsidRPr="005D7BF7">
        <w:rPr>
          <w:rFonts w:ascii="Arial" w:hAnsi="Arial" w:cs="Arial"/>
        </w:rPr>
        <w:t>,</w:t>
      </w:r>
      <w:r w:rsidR="00C35622" w:rsidRPr="005D7BF7">
        <w:rPr>
          <w:rFonts w:ascii="Arial" w:hAnsi="Arial" w:cs="Arial"/>
        </w:rPr>
        <w:t xml:space="preserve"> que incluya los requisitos técnicos y profesionales necesarios para</w:t>
      </w:r>
      <w:r w:rsidR="005D7BF7" w:rsidRPr="005D7BF7">
        <w:rPr>
          <w:rFonts w:ascii="Arial" w:hAnsi="Arial" w:cs="Arial"/>
        </w:rPr>
        <w:t xml:space="preserve"> el cumplimiento de los incisos 4.1.5</w:t>
      </w:r>
      <w:r w:rsidR="005D7BF7">
        <w:rPr>
          <w:rFonts w:ascii="Arial" w:hAnsi="Arial" w:cs="Arial"/>
        </w:rPr>
        <w:t xml:space="preserve"> y</w:t>
      </w:r>
      <w:r w:rsidR="005D7BF7" w:rsidRPr="005D7BF7">
        <w:rPr>
          <w:rFonts w:ascii="Arial" w:hAnsi="Arial" w:cs="Arial"/>
        </w:rPr>
        <w:t xml:space="preserve"> 4.3.9 de la Norma para la Habilitación de Farmacias, decreto ejecutivo N°. 31969-S, en caso de que se apliquen inyectables o vacunas en la farmacia.</w:t>
      </w:r>
    </w:p>
    <w:p w14:paraId="7ED59C93" w14:textId="500022AC" w:rsidR="00C35622" w:rsidRPr="007F6CDE" w:rsidRDefault="00C35622" w:rsidP="00E21F24">
      <w:pPr>
        <w:spacing w:line="276" w:lineRule="auto"/>
        <w:ind w:firstLine="567"/>
        <w:jc w:val="both"/>
        <w:rPr>
          <w:rFonts w:ascii="Arial" w:hAnsi="Arial" w:cs="Arial"/>
        </w:rPr>
      </w:pPr>
      <w:r w:rsidRPr="007F6CDE">
        <w:rPr>
          <w:rFonts w:ascii="Arial" w:hAnsi="Arial" w:cs="Arial"/>
        </w:rPr>
        <w:t xml:space="preserve">Como </w:t>
      </w:r>
      <w:r w:rsidR="00EE5C88">
        <w:rPr>
          <w:rFonts w:ascii="Arial" w:hAnsi="Arial" w:cs="Arial"/>
        </w:rPr>
        <w:t>formato</w:t>
      </w:r>
      <w:r w:rsidRPr="007F6CDE">
        <w:rPr>
          <w:rFonts w:ascii="Arial" w:hAnsi="Arial" w:cs="Arial"/>
        </w:rPr>
        <w:t>, este documento es una base para que el profesional farma</w:t>
      </w:r>
      <w:r w:rsidR="008B0F46" w:rsidRPr="007F6CDE">
        <w:rPr>
          <w:rFonts w:ascii="Arial" w:hAnsi="Arial" w:cs="Arial"/>
        </w:rPr>
        <w:t>céutico pueda modificarlo</w:t>
      </w:r>
      <w:r w:rsidRPr="007F6CDE">
        <w:rPr>
          <w:rFonts w:ascii="Arial" w:hAnsi="Arial" w:cs="Arial"/>
        </w:rPr>
        <w:t xml:space="preserve"> a su criterio y lo adapte a</w:t>
      </w:r>
      <w:r w:rsidR="008B0F46" w:rsidRPr="007F6CDE">
        <w:rPr>
          <w:rFonts w:ascii="Arial" w:hAnsi="Arial" w:cs="Arial"/>
        </w:rPr>
        <w:t xml:space="preserve">l establecimiento donde labora, </w:t>
      </w:r>
      <w:r w:rsidR="0039027F">
        <w:rPr>
          <w:rFonts w:ascii="Arial" w:hAnsi="Arial" w:cs="Arial"/>
        </w:rPr>
        <w:t xml:space="preserve">modificando la información indicada </w:t>
      </w:r>
      <w:r w:rsidR="0039027F" w:rsidRPr="007F6CDE">
        <w:rPr>
          <w:rFonts w:ascii="Arial" w:hAnsi="Arial" w:cs="Arial"/>
          <w:b/>
          <w:bCs/>
          <w:color w:val="FF0000"/>
        </w:rPr>
        <w:t>[entre paréntesis cuadrados, resaltado y en letras rojas]</w:t>
      </w:r>
      <w:r w:rsidR="0039027F">
        <w:rPr>
          <w:rFonts w:ascii="Arial" w:hAnsi="Arial" w:cs="Arial"/>
        </w:rPr>
        <w:t>.</w:t>
      </w:r>
      <w:r w:rsidR="0039027F" w:rsidRPr="007F6CDE">
        <w:rPr>
          <w:rFonts w:ascii="Arial" w:hAnsi="Arial" w:cs="Arial"/>
        </w:rPr>
        <w:t xml:space="preserve"> </w:t>
      </w:r>
      <w:r w:rsidR="0039027F">
        <w:rPr>
          <w:rFonts w:ascii="Arial" w:hAnsi="Arial" w:cs="Arial"/>
        </w:rPr>
        <w:t>S</w:t>
      </w:r>
      <w:r w:rsidR="0039027F" w:rsidRPr="007F6CDE">
        <w:rPr>
          <w:rFonts w:ascii="Arial" w:hAnsi="Arial" w:cs="Arial"/>
        </w:rPr>
        <w:t xml:space="preserve">in embargo, </w:t>
      </w:r>
      <w:r w:rsidR="0039027F">
        <w:rPr>
          <w:rFonts w:ascii="Arial" w:hAnsi="Arial" w:cs="Arial"/>
        </w:rPr>
        <w:t xml:space="preserve">este procedimiento está basado en el “Protocolo para el manejo de Shock Anafiláctico” del Colfar, por lo que la estructura y secciones del procedimiento deben mantenerse. </w:t>
      </w:r>
    </w:p>
    <w:p w14:paraId="28C5DAA1" w14:textId="2C706C69" w:rsidR="00285E35" w:rsidRPr="007F6CDE" w:rsidRDefault="00D37598" w:rsidP="00BF35A7">
      <w:pPr>
        <w:spacing w:line="276" w:lineRule="auto"/>
        <w:jc w:val="both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  <w:bCs/>
        </w:rPr>
        <w:t>Justificación</w:t>
      </w:r>
    </w:p>
    <w:p w14:paraId="0B74F4DC" w14:textId="688B6E88" w:rsidR="005D7BF7" w:rsidRPr="00452072" w:rsidRDefault="0069503D" w:rsidP="005D7BF7">
      <w:pPr>
        <w:spacing w:line="276" w:lineRule="auto"/>
        <w:ind w:firstLine="708"/>
        <w:jc w:val="both"/>
        <w:rPr>
          <w:rFonts w:ascii="Arial" w:hAnsi="Arial" w:cs="Arial"/>
        </w:rPr>
      </w:pPr>
      <w:r w:rsidRPr="0069503D">
        <w:rPr>
          <w:rFonts w:ascii="Arial" w:hAnsi="Arial" w:cs="Arial"/>
        </w:rPr>
        <w:t>Debido al riesgo que existe de que una persona sufra una reacción alérgica al</w:t>
      </w:r>
      <w:r>
        <w:rPr>
          <w:rFonts w:ascii="Arial" w:hAnsi="Arial" w:cs="Arial"/>
        </w:rPr>
        <w:t xml:space="preserve"> </w:t>
      </w:r>
      <w:r w:rsidRPr="0069503D">
        <w:rPr>
          <w:rFonts w:ascii="Arial" w:hAnsi="Arial" w:cs="Arial"/>
        </w:rPr>
        <w:t>medicamento en el momento de su aplicación, el profesional farmacéutico está en la</w:t>
      </w:r>
      <w:r>
        <w:rPr>
          <w:rFonts w:ascii="Arial" w:hAnsi="Arial" w:cs="Arial"/>
        </w:rPr>
        <w:t xml:space="preserve"> </w:t>
      </w:r>
      <w:r w:rsidRPr="0069503D">
        <w:rPr>
          <w:rFonts w:ascii="Arial" w:hAnsi="Arial" w:cs="Arial"/>
        </w:rPr>
        <w:t>responsabilidad de actuar ante una situación de este tipo</w:t>
      </w:r>
      <w:r w:rsidR="00EC0569">
        <w:rPr>
          <w:rFonts w:ascii="Arial" w:hAnsi="Arial" w:cs="Arial"/>
        </w:rPr>
        <w:t>. P</w:t>
      </w:r>
      <w:r w:rsidR="005D7BF7" w:rsidRPr="00452072">
        <w:rPr>
          <w:rFonts w:ascii="Arial" w:hAnsi="Arial" w:cs="Arial"/>
        </w:rPr>
        <w:t>or lo anterior, es necesario contar con un pro</w:t>
      </w:r>
      <w:r w:rsidR="0039027F">
        <w:rPr>
          <w:rFonts w:ascii="Arial" w:hAnsi="Arial" w:cs="Arial"/>
        </w:rPr>
        <w:t>cedimiento</w:t>
      </w:r>
      <w:r w:rsidR="00011712">
        <w:rPr>
          <w:rFonts w:ascii="Arial" w:hAnsi="Arial" w:cs="Arial"/>
        </w:rPr>
        <w:t xml:space="preserve"> </w:t>
      </w:r>
      <w:r w:rsidR="0039027F">
        <w:rPr>
          <w:rFonts w:ascii="Arial" w:hAnsi="Arial" w:cs="Arial"/>
        </w:rPr>
        <w:t>para el</w:t>
      </w:r>
      <w:r w:rsidR="00011712">
        <w:rPr>
          <w:rFonts w:ascii="Arial" w:hAnsi="Arial" w:cs="Arial"/>
        </w:rPr>
        <w:t xml:space="preserve"> manejo de</w:t>
      </w:r>
      <w:r w:rsidR="0039027F">
        <w:rPr>
          <w:rFonts w:ascii="Arial" w:hAnsi="Arial" w:cs="Arial"/>
        </w:rPr>
        <w:t xml:space="preserve"> </w:t>
      </w:r>
      <w:r w:rsidR="00011712">
        <w:rPr>
          <w:rFonts w:ascii="Arial" w:hAnsi="Arial" w:cs="Arial"/>
        </w:rPr>
        <w:t>choque anafiláctico</w:t>
      </w:r>
      <w:r w:rsidR="00EC0569">
        <w:rPr>
          <w:rFonts w:ascii="Arial" w:hAnsi="Arial" w:cs="Arial"/>
        </w:rPr>
        <w:t>,</w:t>
      </w:r>
      <w:r w:rsidR="005D7BF7" w:rsidRPr="00452072">
        <w:rPr>
          <w:rFonts w:ascii="Arial" w:hAnsi="Arial" w:cs="Arial"/>
        </w:rPr>
        <w:t xml:space="preserve"> que defina los requerimientos </w:t>
      </w:r>
      <w:r w:rsidR="00EC0569">
        <w:rPr>
          <w:rFonts w:ascii="Arial" w:hAnsi="Arial" w:cs="Arial"/>
        </w:rPr>
        <w:t>con los que debe contar el servicio y</w:t>
      </w:r>
      <w:r w:rsidR="005D7BF7" w:rsidRPr="00452072">
        <w:rPr>
          <w:rFonts w:ascii="Arial" w:hAnsi="Arial" w:cs="Arial"/>
        </w:rPr>
        <w:t xml:space="preserve"> </w:t>
      </w:r>
      <w:r w:rsidR="00011712">
        <w:rPr>
          <w:rFonts w:ascii="Arial" w:hAnsi="Arial" w:cs="Arial"/>
        </w:rPr>
        <w:t>el abordaje</w:t>
      </w:r>
      <w:r w:rsidR="00EC0569">
        <w:rPr>
          <w:rFonts w:ascii="Arial" w:hAnsi="Arial" w:cs="Arial"/>
        </w:rPr>
        <w:t xml:space="preserve"> de la reacción</w:t>
      </w:r>
      <w:r w:rsidR="00011712">
        <w:rPr>
          <w:rFonts w:ascii="Arial" w:hAnsi="Arial" w:cs="Arial"/>
        </w:rPr>
        <w:t xml:space="preserve">, </w:t>
      </w:r>
      <w:r w:rsidR="00EC0569">
        <w:rPr>
          <w:rFonts w:ascii="Arial" w:hAnsi="Arial" w:cs="Arial"/>
        </w:rPr>
        <w:t xml:space="preserve">incluyendo la </w:t>
      </w:r>
      <w:r w:rsidR="005D7BF7" w:rsidRPr="00452072">
        <w:rPr>
          <w:rFonts w:ascii="Arial" w:hAnsi="Arial" w:cs="Arial"/>
        </w:rPr>
        <w:t>preparación y aplicación</w:t>
      </w:r>
      <w:r w:rsidR="00011712">
        <w:rPr>
          <w:rFonts w:ascii="Arial" w:hAnsi="Arial" w:cs="Arial"/>
        </w:rPr>
        <w:t xml:space="preserve"> de los medicamentos necesarios para salvaguardar la vida del paciente</w:t>
      </w:r>
      <w:r w:rsidR="00EC0569">
        <w:rPr>
          <w:rFonts w:ascii="Arial" w:hAnsi="Arial" w:cs="Arial"/>
        </w:rPr>
        <w:t>.</w:t>
      </w:r>
    </w:p>
    <w:p w14:paraId="047764F2" w14:textId="77777777" w:rsidR="00285E35" w:rsidRPr="007F6CDE" w:rsidRDefault="00285E35" w:rsidP="00BF35A7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273B4A2F" w14:textId="77777777" w:rsidR="00285E35" w:rsidRPr="007F6CDE" w:rsidRDefault="00285E35" w:rsidP="00BF35A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4AE76FC6" w14:textId="47BA80A5" w:rsidR="00112A31" w:rsidRPr="007F6CDE" w:rsidRDefault="00112A31" w:rsidP="00BF35A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>[----------------------------------------------------[inicio]----------------------------------------------------]</w:t>
      </w:r>
    </w:p>
    <w:p w14:paraId="35ADC0CC" w14:textId="5A3A6DCC" w:rsidR="001D4663" w:rsidRPr="00011712" w:rsidRDefault="0074140F" w:rsidP="00011712">
      <w:pPr>
        <w:spacing w:line="276" w:lineRule="auto"/>
        <w:rPr>
          <w:rFonts w:ascii="Arial" w:hAnsi="Arial" w:cs="Arial"/>
          <w:b/>
          <w:sz w:val="24"/>
          <w:szCs w:val="24"/>
          <w:lang w:val="es-CR"/>
        </w:rPr>
      </w:pPr>
      <w:r w:rsidRPr="007F6CDE">
        <w:rPr>
          <w:rFonts w:ascii="Arial" w:hAnsi="Arial" w:cs="Arial"/>
          <w:b/>
          <w:sz w:val="24"/>
          <w:szCs w:val="24"/>
          <w:lang w:val="es-CR"/>
        </w:rPr>
        <w:br w:type="page"/>
      </w:r>
    </w:p>
    <w:p w14:paraId="032B02CA" w14:textId="4FF99AA0" w:rsidR="0013538D" w:rsidRPr="00ED2748" w:rsidRDefault="005D7401" w:rsidP="00B820A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lastRenderedPageBreak/>
        <w:t>Objetivo</w:t>
      </w:r>
    </w:p>
    <w:p w14:paraId="2416B6AF" w14:textId="7D7E3C1B" w:rsidR="00BC03CC" w:rsidRPr="007F6CDE" w:rsidRDefault="00F70010" w:rsidP="00B820A8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 w:rsidRPr="00F70010">
        <w:rPr>
          <w:rFonts w:ascii="Arial" w:eastAsia="Times New Roman" w:hAnsi="Arial" w:cs="Arial"/>
          <w:lang w:val="es-CR" w:eastAsia="es-ES"/>
        </w:rPr>
        <w:t>Definir las actividades del profesional farmacéutico</w:t>
      </w:r>
      <w:r>
        <w:rPr>
          <w:rFonts w:ascii="Arial" w:eastAsia="Times New Roman" w:hAnsi="Arial" w:cs="Arial"/>
          <w:lang w:val="es-CR" w:eastAsia="es-ES"/>
        </w:rPr>
        <w:t xml:space="preserve"> </w:t>
      </w:r>
      <w:r w:rsidRPr="00F70010">
        <w:rPr>
          <w:rFonts w:ascii="Arial" w:eastAsia="Times New Roman" w:hAnsi="Arial" w:cs="Arial"/>
          <w:lang w:val="es-CR" w:eastAsia="es-ES"/>
        </w:rPr>
        <w:t>en el abordaje del paciente</w:t>
      </w:r>
      <w:r>
        <w:rPr>
          <w:rFonts w:ascii="Arial" w:eastAsia="Times New Roman" w:hAnsi="Arial" w:cs="Arial"/>
          <w:lang w:val="es-CR" w:eastAsia="es-ES"/>
        </w:rPr>
        <w:t xml:space="preserve"> </w:t>
      </w:r>
      <w:r w:rsidRPr="00F70010">
        <w:rPr>
          <w:rFonts w:ascii="Arial" w:eastAsia="Times New Roman" w:hAnsi="Arial" w:cs="Arial"/>
          <w:lang w:val="es-CR" w:eastAsia="es-ES"/>
        </w:rPr>
        <w:t xml:space="preserve">que presenta una reacción alérgica de tipo </w:t>
      </w:r>
      <w:r w:rsidR="00EC0569">
        <w:rPr>
          <w:rFonts w:ascii="Arial" w:eastAsia="Times New Roman" w:hAnsi="Arial" w:cs="Arial"/>
          <w:lang w:val="es-CR" w:eastAsia="es-ES"/>
        </w:rPr>
        <w:t>choque</w:t>
      </w:r>
      <w:r w:rsidRPr="00F70010">
        <w:rPr>
          <w:rFonts w:ascii="Arial" w:eastAsia="Times New Roman" w:hAnsi="Arial" w:cs="Arial"/>
          <w:lang w:val="es-CR" w:eastAsia="es-ES"/>
        </w:rPr>
        <w:t xml:space="preserve"> anafiláctic</w:t>
      </w:r>
      <w:r>
        <w:rPr>
          <w:rFonts w:ascii="Arial" w:eastAsia="Times New Roman" w:hAnsi="Arial" w:cs="Arial"/>
          <w:lang w:val="es-CR" w:eastAsia="es-ES"/>
        </w:rPr>
        <w:t>a</w:t>
      </w:r>
      <w:r w:rsidR="0048380D">
        <w:rPr>
          <w:rFonts w:ascii="Arial" w:eastAsia="Times New Roman" w:hAnsi="Arial" w:cs="Arial"/>
          <w:lang w:val="es-CR" w:eastAsia="es-ES"/>
        </w:rPr>
        <w:t>,</w:t>
      </w:r>
      <w:r w:rsidRPr="00F70010">
        <w:rPr>
          <w:rFonts w:ascii="Arial" w:eastAsia="Times New Roman" w:hAnsi="Arial" w:cs="Arial"/>
          <w:lang w:val="es-CR" w:eastAsia="es-ES"/>
        </w:rPr>
        <w:t xml:space="preserve"> consecuencia de la</w:t>
      </w:r>
      <w:r>
        <w:rPr>
          <w:rFonts w:ascii="Arial" w:eastAsia="Times New Roman" w:hAnsi="Arial" w:cs="Arial"/>
          <w:lang w:val="es-CR" w:eastAsia="es-ES"/>
        </w:rPr>
        <w:t xml:space="preserve"> </w:t>
      </w:r>
      <w:r w:rsidRPr="00F70010">
        <w:rPr>
          <w:rFonts w:ascii="Arial" w:eastAsia="Times New Roman" w:hAnsi="Arial" w:cs="Arial"/>
          <w:lang w:val="es-CR" w:eastAsia="es-ES"/>
        </w:rPr>
        <w:t>aplicación de un medicamento, que le permita actuar de forma inmediata en auxilio a su</w:t>
      </w:r>
      <w:r>
        <w:rPr>
          <w:rFonts w:ascii="Arial" w:eastAsia="Times New Roman" w:hAnsi="Arial" w:cs="Arial"/>
          <w:lang w:val="es-CR" w:eastAsia="es-ES"/>
        </w:rPr>
        <w:t xml:space="preserve"> </w:t>
      </w:r>
      <w:r w:rsidRPr="00F70010">
        <w:rPr>
          <w:rFonts w:ascii="Arial" w:eastAsia="Times New Roman" w:hAnsi="Arial" w:cs="Arial"/>
          <w:lang w:val="es-CR" w:eastAsia="es-ES"/>
        </w:rPr>
        <w:t>salud</w:t>
      </w:r>
      <w:r>
        <w:rPr>
          <w:rFonts w:ascii="Arial" w:eastAsia="Times New Roman" w:hAnsi="Arial" w:cs="Arial"/>
          <w:lang w:val="es-CR" w:eastAsia="es-ES"/>
        </w:rPr>
        <w:t xml:space="preserve"> en</w:t>
      </w:r>
      <w:r w:rsidRPr="00F70010">
        <w:rPr>
          <w:rFonts w:ascii="Arial" w:eastAsia="Times New Roman" w:hAnsi="Arial" w:cs="Arial"/>
          <w:b/>
          <w:color w:val="FF0000"/>
          <w:lang w:val="es-CR" w:eastAsia="es-ES"/>
        </w:rPr>
        <w:t xml:space="preserve"> </w:t>
      </w:r>
      <w:r w:rsidR="00A1006D" w:rsidRPr="007F6CDE">
        <w:rPr>
          <w:rFonts w:ascii="Arial" w:eastAsia="Times New Roman" w:hAnsi="Arial" w:cs="Arial"/>
          <w:b/>
          <w:color w:val="FF0000"/>
          <w:lang w:val="es-CR" w:eastAsia="es-ES"/>
        </w:rPr>
        <w:t>[c</w:t>
      </w:r>
      <w:r w:rsidR="00577F88" w:rsidRPr="007F6CDE">
        <w:rPr>
          <w:rFonts w:ascii="Arial" w:eastAsia="Times New Roman" w:hAnsi="Arial" w:cs="Arial"/>
          <w:b/>
          <w:color w:val="FF0000"/>
          <w:lang w:val="es-CR" w:eastAsia="es-ES"/>
        </w:rPr>
        <w:t>olocar el nombre de la Farmacia]</w:t>
      </w:r>
      <w:r w:rsidR="00EC0569">
        <w:rPr>
          <w:rFonts w:ascii="Arial" w:eastAsia="Times New Roman" w:hAnsi="Arial" w:cs="Arial"/>
          <w:b/>
          <w:color w:val="FF0000"/>
          <w:lang w:val="es-CR" w:eastAsia="es-ES"/>
        </w:rPr>
        <w:t>.</w:t>
      </w:r>
    </w:p>
    <w:p w14:paraId="2D550C89" w14:textId="77777777" w:rsidR="0062093D" w:rsidRPr="007F6CDE" w:rsidRDefault="0062093D" w:rsidP="00B820A8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32CEBC90" w14:textId="77777777" w:rsidR="00BC03CC" w:rsidRPr="00ED2748" w:rsidRDefault="00BC03CC" w:rsidP="00B820A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Responsables</w:t>
      </w:r>
    </w:p>
    <w:p w14:paraId="57ADCDE3" w14:textId="3EC3D8AD" w:rsidR="00326A2B" w:rsidRPr="007F6CDE" w:rsidRDefault="00733B8B" w:rsidP="00B820A8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Regente Farmacéutico: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 xml:space="preserve"> </w:t>
      </w:r>
      <w:r w:rsidRPr="007F6CDE">
        <w:rPr>
          <w:rFonts w:ascii="Arial" w:eastAsia="Times New Roman" w:hAnsi="Arial" w:cs="Arial"/>
          <w:szCs w:val="20"/>
          <w:lang w:val="es-CR" w:eastAsia="es-ES"/>
        </w:rPr>
        <w:t xml:space="preserve">responsable de la actualización frecuente 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 xml:space="preserve">y supervisión </w:t>
      </w:r>
      <w:r w:rsidRPr="007F6CDE">
        <w:rPr>
          <w:rFonts w:ascii="Arial" w:eastAsia="Times New Roman" w:hAnsi="Arial" w:cs="Arial"/>
          <w:szCs w:val="20"/>
          <w:lang w:val="es-CR" w:eastAsia="es-ES"/>
        </w:rPr>
        <w:t>del cumplimiento del pro</w:t>
      </w:r>
      <w:r w:rsidR="00393776">
        <w:rPr>
          <w:rFonts w:ascii="Arial" w:eastAsia="Times New Roman" w:hAnsi="Arial" w:cs="Arial"/>
          <w:szCs w:val="20"/>
          <w:lang w:val="es-CR" w:eastAsia="es-ES"/>
        </w:rPr>
        <w:t>cedimiento</w:t>
      </w:r>
      <w:r w:rsidRPr="007F6CDE">
        <w:rPr>
          <w:rFonts w:ascii="Arial" w:eastAsia="Times New Roman" w:hAnsi="Arial" w:cs="Arial"/>
          <w:szCs w:val="20"/>
          <w:lang w:val="es-CR" w:eastAsia="es-ES"/>
        </w:rPr>
        <w:t>.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 xml:space="preserve"> Encargado de capacitar al personal en este pro</w:t>
      </w:r>
      <w:r w:rsidR="00393776">
        <w:rPr>
          <w:rFonts w:ascii="Arial" w:eastAsia="Times New Roman" w:hAnsi="Arial" w:cs="Arial"/>
          <w:szCs w:val="20"/>
          <w:lang w:val="es-CR" w:eastAsia="es-ES"/>
        </w:rPr>
        <w:t>cedimiento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>.</w:t>
      </w:r>
    </w:p>
    <w:p w14:paraId="2FA2375A" w14:textId="77777777" w:rsidR="00285E35" w:rsidRPr="007F6CDE" w:rsidRDefault="00285E35" w:rsidP="00B820A8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</w:p>
    <w:p w14:paraId="5BD1AC11" w14:textId="76332941" w:rsidR="00686852" w:rsidRPr="007F6CDE" w:rsidRDefault="00733B8B" w:rsidP="00B820A8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Propietario</w:t>
      </w:r>
      <w:r w:rsidR="00686852"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:</w:t>
      </w: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 xml:space="preserve"> 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>proveer a la farmacia de los implementos y materiales necesarios para el cumplimiento de este pro</w:t>
      </w:r>
      <w:r w:rsidR="00393776">
        <w:rPr>
          <w:rFonts w:ascii="Arial" w:eastAsia="Times New Roman" w:hAnsi="Arial" w:cs="Arial"/>
          <w:szCs w:val="20"/>
          <w:lang w:val="es-CR" w:eastAsia="es-ES"/>
        </w:rPr>
        <w:t>cedimiento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>.</w:t>
      </w:r>
    </w:p>
    <w:p w14:paraId="72AFEABD" w14:textId="77777777" w:rsidR="00686852" w:rsidRPr="007F6CDE" w:rsidRDefault="00686852" w:rsidP="00B820A8">
      <w:pPr>
        <w:spacing w:after="0" w:line="276" w:lineRule="auto"/>
        <w:jc w:val="both"/>
        <w:rPr>
          <w:rFonts w:ascii="Arial" w:eastAsia="Times New Roman" w:hAnsi="Arial" w:cs="Arial"/>
          <w:b/>
          <w:bCs/>
          <w:szCs w:val="20"/>
          <w:lang w:val="es-CR" w:eastAsia="es-ES"/>
        </w:rPr>
      </w:pPr>
    </w:p>
    <w:p w14:paraId="41C06CCF" w14:textId="3045AFB9" w:rsidR="00733B8B" w:rsidRPr="007F6CDE" w:rsidRDefault="00686852" w:rsidP="00B820A8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P</w:t>
      </w:r>
      <w:r w:rsidR="00733B8B"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ersonal auxiliar:</w:t>
      </w:r>
      <w:r w:rsidR="00733B8B" w:rsidRPr="007F6CDE">
        <w:rPr>
          <w:rFonts w:ascii="Arial" w:eastAsia="Times New Roman" w:hAnsi="Arial" w:cs="Arial"/>
          <w:szCs w:val="20"/>
          <w:lang w:val="es-CR" w:eastAsia="es-ES"/>
        </w:rPr>
        <w:t xml:space="preserve"> </w:t>
      </w:r>
      <w:r w:rsidRPr="007F6CDE">
        <w:rPr>
          <w:rFonts w:ascii="Arial" w:eastAsia="Times New Roman" w:hAnsi="Arial" w:cs="Arial"/>
          <w:szCs w:val="20"/>
          <w:lang w:val="es-CR" w:eastAsia="es-ES"/>
        </w:rPr>
        <w:t>c</w:t>
      </w:r>
      <w:r w:rsidR="00733B8B" w:rsidRPr="007F6CDE">
        <w:rPr>
          <w:rFonts w:ascii="Arial" w:eastAsia="Times New Roman" w:hAnsi="Arial" w:cs="Arial"/>
          <w:szCs w:val="20"/>
          <w:lang w:val="es-CR" w:eastAsia="es-ES"/>
        </w:rPr>
        <w:t>umplir las disposiciones del pro</w:t>
      </w:r>
      <w:r w:rsidR="00393776">
        <w:rPr>
          <w:rFonts w:ascii="Arial" w:eastAsia="Times New Roman" w:hAnsi="Arial" w:cs="Arial"/>
          <w:szCs w:val="20"/>
          <w:lang w:val="es-CR" w:eastAsia="es-ES"/>
        </w:rPr>
        <w:t>cedimiento</w:t>
      </w:r>
      <w:r w:rsidR="00733B8B" w:rsidRPr="007F6CDE">
        <w:rPr>
          <w:rFonts w:ascii="Arial" w:eastAsia="Times New Roman" w:hAnsi="Arial" w:cs="Arial"/>
          <w:szCs w:val="20"/>
          <w:lang w:val="es-CR" w:eastAsia="es-ES"/>
        </w:rPr>
        <w:t xml:space="preserve"> cuando aplique dentro de sus funciones. </w:t>
      </w:r>
    </w:p>
    <w:p w14:paraId="6B686ADE" w14:textId="77777777" w:rsidR="00686852" w:rsidRPr="007F6CDE" w:rsidRDefault="00686852" w:rsidP="00B820A8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</w:p>
    <w:p w14:paraId="407065BD" w14:textId="05D24C71" w:rsidR="00BC03CC" w:rsidRPr="007F6CDE" w:rsidRDefault="00662A43" w:rsidP="00B820A8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 xml:space="preserve">[Se puede establecer responsabilidades más específicas al personal profesional o no profesional del establecimiento </w:t>
      </w:r>
      <w:r w:rsidR="00257731" w:rsidRPr="007F6CDE">
        <w:rPr>
          <w:rFonts w:ascii="Arial" w:hAnsi="Arial" w:cs="Arial"/>
          <w:b/>
          <w:bCs/>
          <w:color w:val="FF0000"/>
        </w:rPr>
        <w:t xml:space="preserve">y </w:t>
      </w:r>
      <w:r w:rsidR="00733B8B" w:rsidRPr="007F6CDE">
        <w:rPr>
          <w:rFonts w:ascii="Arial" w:hAnsi="Arial" w:cs="Arial"/>
          <w:b/>
          <w:bCs/>
          <w:color w:val="FF0000"/>
        </w:rPr>
        <w:t>deberá</w:t>
      </w:r>
      <w:r w:rsidRPr="007F6CDE">
        <w:rPr>
          <w:rFonts w:ascii="Arial" w:hAnsi="Arial" w:cs="Arial"/>
          <w:b/>
          <w:bCs/>
          <w:color w:val="FF0000"/>
        </w:rPr>
        <w:t>n aparecer descritas en el documento “</w:t>
      </w:r>
      <w:r w:rsidRPr="007F6CDE">
        <w:rPr>
          <w:rFonts w:ascii="Arial" w:hAnsi="Arial" w:cs="Arial"/>
          <w:b/>
          <w:bCs/>
          <w:i/>
          <w:iCs/>
          <w:color w:val="FF0000"/>
        </w:rPr>
        <w:t>Pro</w:t>
      </w:r>
      <w:r w:rsidR="00393776">
        <w:rPr>
          <w:rFonts w:ascii="Arial" w:hAnsi="Arial" w:cs="Arial"/>
          <w:b/>
          <w:bCs/>
          <w:i/>
          <w:iCs/>
          <w:color w:val="FF0000"/>
        </w:rPr>
        <w:t xml:space="preserve">cedimiento </w:t>
      </w:r>
      <w:r w:rsidRPr="007F6CDE">
        <w:rPr>
          <w:rFonts w:ascii="Arial" w:hAnsi="Arial" w:cs="Arial"/>
          <w:b/>
          <w:bCs/>
          <w:i/>
          <w:iCs/>
          <w:color w:val="FF0000"/>
        </w:rPr>
        <w:t>de funciones y responsabilidades de puestos en la farmacia</w:t>
      </w:r>
      <w:r w:rsidRPr="007F6CDE">
        <w:rPr>
          <w:rFonts w:ascii="Arial" w:hAnsi="Arial" w:cs="Arial"/>
          <w:b/>
          <w:bCs/>
          <w:color w:val="FF0000"/>
        </w:rPr>
        <w:t>”]</w:t>
      </w:r>
    </w:p>
    <w:p w14:paraId="3A1F4E34" w14:textId="77777777" w:rsidR="00E21F24" w:rsidRDefault="00E21F24" w:rsidP="00B820A8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008D6A49" w14:textId="77956A63" w:rsidR="00BC03CC" w:rsidRPr="00ED2748" w:rsidRDefault="00BC03CC" w:rsidP="00B820A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Alcance</w:t>
      </w:r>
    </w:p>
    <w:p w14:paraId="5E545B31" w14:textId="19A3CCC4" w:rsidR="00BC03CC" w:rsidRPr="007F6CDE" w:rsidRDefault="00686852" w:rsidP="00B820A8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 w:rsidRPr="007F6CDE">
        <w:rPr>
          <w:rFonts w:ascii="Arial" w:eastAsia="Times New Roman" w:hAnsi="Arial" w:cs="Arial"/>
          <w:lang w:val="es-CR" w:eastAsia="es-ES"/>
        </w:rPr>
        <w:t>A</w:t>
      </w:r>
      <w:r w:rsidR="00326A2B" w:rsidRPr="007F6CDE">
        <w:rPr>
          <w:rFonts w:ascii="Arial" w:eastAsia="Times New Roman" w:hAnsi="Arial" w:cs="Arial"/>
          <w:lang w:val="es-CR" w:eastAsia="es-ES"/>
        </w:rPr>
        <w:t xml:space="preserve">plica para </w:t>
      </w:r>
      <w:r w:rsidR="00EC0569">
        <w:rPr>
          <w:rFonts w:ascii="Arial" w:eastAsia="Times New Roman" w:hAnsi="Arial" w:cs="Arial"/>
          <w:lang w:val="es-CR" w:eastAsia="es-ES"/>
        </w:rPr>
        <w:t>todo servicio de aplicación de</w:t>
      </w:r>
      <w:r w:rsidR="00B820A8">
        <w:rPr>
          <w:rFonts w:ascii="Arial" w:eastAsia="Times New Roman" w:hAnsi="Arial" w:cs="Arial"/>
          <w:lang w:val="es-CR" w:eastAsia="es-ES"/>
        </w:rPr>
        <w:t xml:space="preserve"> </w:t>
      </w:r>
      <w:r w:rsidR="00EC0569">
        <w:rPr>
          <w:rFonts w:ascii="Arial" w:eastAsia="Times New Roman" w:hAnsi="Arial" w:cs="Arial"/>
          <w:lang w:val="es-CR" w:eastAsia="es-ES"/>
        </w:rPr>
        <w:t xml:space="preserve">inyectables en </w:t>
      </w:r>
      <w:r w:rsidR="00326A2B" w:rsidRPr="007F6CDE">
        <w:rPr>
          <w:rFonts w:ascii="Arial" w:eastAsia="Times New Roman" w:hAnsi="Arial" w:cs="Arial"/>
          <w:b/>
          <w:color w:val="FF0000"/>
          <w:szCs w:val="20"/>
          <w:lang w:val="es-CR" w:eastAsia="es-ES"/>
        </w:rPr>
        <w:t>[Colocar el nombre de la Farmacia</w:t>
      </w:r>
      <w:r w:rsidR="00326A2B" w:rsidRPr="00AE3138">
        <w:rPr>
          <w:rFonts w:ascii="Arial" w:eastAsia="Times New Roman" w:hAnsi="Arial" w:cs="Arial"/>
          <w:b/>
          <w:color w:val="FF0000"/>
          <w:szCs w:val="20"/>
          <w:lang w:val="es-CR" w:eastAsia="es-ES"/>
        </w:rPr>
        <w:t>]</w:t>
      </w:r>
      <w:r w:rsidR="00F27EE3">
        <w:rPr>
          <w:rFonts w:ascii="Arial" w:eastAsia="Times New Roman" w:hAnsi="Arial" w:cs="Arial"/>
          <w:b/>
          <w:color w:val="FF0000"/>
          <w:szCs w:val="20"/>
          <w:lang w:val="es-CR" w:eastAsia="es-ES"/>
        </w:rPr>
        <w:t xml:space="preserve"> </w:t>
      </w:r>
      <w:r w:rsidR="00B820A8">
        <w:rPr>
          <w:rFonts w:ascii="Arial" w:eastAsia="Times New Roman" w:hAnsi="Arial" w:cs="Arial"/>
          <w:bCs/>
          <w:szCs w:val="20"/>
          <w:lang w:val="es-CR" w:eastAsia="es-ES"/>
        </w:rPr>
        <w:t>en el</w:t>
      </w:r>
      <w:r w:rsidR="00EC0569">
        <w:rPr>
          <w:rFonts w:ascii="Arial" w:eastAsia="Times New Roman" w:hAnsi="Arial" w:cs="Arial"/>
          <w:bCs/>
          <w:szCs w:val="20"/>
          <w:lang w:val="es-CR" w:eastAsia="es-ES"/>
        </w:rPr>
        <w:t xml:space="preserve"> momento en que se presente un</w:t>
      </w:r>
      <w:r w:rsidR="00B820A8">
        <w:rPr>
          <w:rFonts w:ascii="Arial" w:eastAsia="Times New Roman" w:hAnsi="Arial" w:cs="Arial"/>
          <w:bCs/>
          <w:szCs w:val="20"/>
          <w:lang w:val="es-CR" w:eastAsia="es-ES"/>
        </w:rPr>
        <w:t>a</w:t>
      </w:r>
      <w:r w:rsidR="00EC0569">
        <w:rPr>
          <w:rFonts w:ascii="Arial" w:eastAsia="Times New Roman" w:hAnsi="Arial" w:cs="Arial"/>
          <w:bCs/>
          <w:szCs w:val="20"/>
          <w:lang w:val="es-CR" w:eastAsia="es-ES"/>
        </w:rPr>
        <w:t xml:space="preserve"> reacción alérgica de tipo choque anafiláctico debido a la aplicación de un medicamento.</w:t>
      </w:r>
    </w:p>
    <w:p w14:paraId="653B5132" w14:textId="2D21339B" w:rsidR="00BC03CC" w:rsidRDefault="00BC03CC" w:rsidP="00B820A8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6DC5875D" w14:textId="77777777" w:rsidR="006C50DF" w:rsidRPr="007F6CDE" w:rsidRDefault="006C50DF" w:rsidP="00B820A8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2FA6E8AC" w14:textId="77777777" w:rsidR="00BC03CC" w:rsidRPr="00ED2748" w:rsidRDefault="00BC03CC" w:rsidP="00B820A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Definiciones</w:t>
      </w:r>
    </w:p>
    <w:p w14:paraId="09F46D6B" w14:textId="39F508EC" w:rsidR="00F70010" w:rsidRPr="00F70010" w:rsidRDefault="00F70010" w:rsidP="00B820A8">
      <w:pPr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Medicamento: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Se considera medicamento, para los efectos legales y reglamentarios,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toda sustancia o pro ductos naturales, sintéticos o semi sintéticos y toda mezcla de esas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sustancias o productos que se utilicen para el diagnóstico, prevención, tratamiento y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alivio de las enfermedades o estados físicos anormales, o de los síntomas de los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mismos y para el establecimiento o modificación de funciones orgánicas en las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personas o en los animales (Artículo 104, Ley General de Salud,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 xml:space="preserve">Se incluyen en la misma denominación y para los mismos efectos los </w:t>
      </w:r>
      <w:r w:rsidRPr="00F70010">
        <w:rPr>
          <w:rFonts w:ascii="Arial" w:hAnsi="Arial" w:cs="Arial"/>
          <w:color w:val="333333"/>
          <w:lang w:val="es-ES_tradnl"/>
        </w:rPr>
        <w:lastRenderedPageBreak/>
        <w:t>alimentos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dietéticos y los alimentos y cosméticos que hayan sido adicionados con sustancias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medicinales.</w:t>
      </w:r>
    </w:p>
    <w:p w14:paraId="100CE36B" w14:textId="77777777" w:rsidR="00F70010" w:rsidRDefault="00F70010" w:rsidP="00B820A8">
      <w:pPr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</w:p>
    <w:p w14:paraId="51D6EC68" w14:textId="1292FB71" w:rsidR="004E30B5" w:rsidRDefault="00F70010" w:rsidP="00B820A8">
      <w:pPr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Reacción alérgica: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Son sensibilidades a sustancias, llamadas alérgenos, que entran en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contacto con la piel, la nariz, los ojos, las vías respiratorias y el tubo digestivo. Dichas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sustancias pueden ser inhaladas hacia los pulmones, ingeridas o inyectadas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(Wasserman, 2016).</w:t>
      </w:r>
    </w:p>
    <w:p w14:paraId="0ADEE025" w14:textId="2349A357" w:rsidR="00F70010" w:rsidRDefault="00F70010" w:rsidP="00B820A8">
      <w:pPr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</w:p>
    <w:p w14:paraId="2DFF98CD" w14:textId="387EB99A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Reacción anafiláctica:</w:t>
      </w:r>
      <w:r w:rsidRPr="00F70010">
        <w:rPr>
          <w:rFonts w:ascii="Arial" w:hAnsi="Arial" w:cs="Arial"/>
          <w:color w:val="333333"/>
          <w:lang w:val="es-ES_tradnl"/>
        </w:rPr>
        <w:t xml:space="preserve"> Es una reacción de hipersensibilidad generalizada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o sistémica, grave y potencialmente mortal, que se caracteriza por la aparición rápida de problemas respiratorios y/o circulatorios, y generalmente asociada con cambios en la piel y la mucosa y que tiende a encadenar en el llamado shock anafiláctico</w:t>
      </w:r>
      <w:r>
        <w:rPr>
          <w:rFonts w:ascii="Arial" w:hAnsi="Arial" w:cs="Arial"/>
          <w:color w:val="333333"/>
          <w:lang w:val="es-ES_tradnl"/>
        </w:rPr>
        <w:t xml:space="preserve"> </w:t>
      </w:r>
      <w:r w:rsidRPr="00F70010">
        <w:rPr>
          <w:rFonts w:ascii="Arial" w:hAnsi="Arial" w:cs="Arial"/>
          <w:color w:val="333333"/>
          <w:lang w:val="es-ES_tradnl"/>
        </w:rPr>
        <w:t>(Martindale, 2015).</w:t>
      </w:r>
    </w:p>
    <w:p w14:paraId="282D93E1" w14:textId="77777777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</w:p>
    <w:p w14:paraId="4195BA34" w14:textId="778ED8BB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Reacción anafilactoide:</w:t>
      </w:r>
      <w:r w:rsidRPr="00F70010">
        <w:rPr>
          <w:rFonts w:ascii="Arial" w:hAnsi="Arial" w:cs="Arial"/>
          <w:color w:val="333333"/>
          <w:lang w:val="es-ES_tradnl"/>
        </w:rPr>
        <w:t xml:space="preserve"> Es una reacción que provoca el mismo cuadro clínico de una reacción anafiláctica pero no están mediadas por Inmunoglobulina E (IgE), sino que se producen por un agente externo (Lagopoulos, et. al, 2011).</w:t>
      </w:r>
    </w:p>
    <w:p w14:paraId="3E1D6E67" w14:textId="77777777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</w:p>
    <w:p w14:paraId="28152C8B" w14:textId="5378C961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Servicio de inyectables y/o vacunatorios</w:t>
      </w:r>
      <w:r w:rsidRPr="00F70010">
        <w:rPr>
          <w:rFonts w:ascii="Arial" w:hAnsi="Arial" w:cs="Arial"/>
          <w:color w:val="333333"/>
          <w:lang w:val="es-ES_tradnl"/>
        </w:rPr>
        <w:t xml:space="preserve">: Es la prestación que se ofrece en la farmacia a un paciente, para que se le administre un medicamento inyectable y/o </w:t>
      </w:r>
      <w:r w:rsidR="00B820A8" w:rsidRPr="00F70010">
        <w:rPr>
          <w:rFonts w:ascii="Arial" w:hAnsi="Arial" w:cs="Arial"/>
          <w:color w:val="333333"/>
          <w:lang w:val="es-ES_tradnl"/>
        </w:rPr>
        <w:t>vacuna (</w:t>
      </w:r>
      <w:r w:rsidRPr="00F70010">
        <w:rPr>
          <w:rFonts w:ascii="Arial" w:hAnsi="Arial" w:cs="Arial"/>
          <w:color w:val="333333"/>
          <w:lang w:val="es-ES_tradnl"/>
        </w:rPr>
        <w:t>Protocolo para el servicio y aplicación de inyectables y/o vacunatorios, 2014).</w:t>
      </w:r>
    </w:p>
    <w:p w14:paraId="36797030" w14:textId="77777777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</w:p>
    <w:p w14:paraId="4F5A8731" w14:textId="52FBA060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Vacuna:</w:t>
      </w:r>
      <w:r w:rsidRPr="00F70010">
        <w:rPr>
          <w:rFonts w:ascii="Arial" w:hAnsi="Arial" w:cs="Arial"/>
          <w:color w:val="333333"/>
          <w:lang w:val="es-ES_tradnl"/>
        </w:rPr>
        <w:t xml:space="preserve"> Sustancia </w:t>
      </w:r>
      <w:r w:rsidR="008F02A2" w:rsidRPr="00F70010">
        <w:rPr>
          <w:rFonts w:ascii="Arial" w:hAnsi="Arial" w:cs="Arial"/>
          <w:color w:val="333333"/>
          <w:lang w:val="es-ES_tradnl"/>
        </w:rPr>
        <w:t>que,</w:t>
      </w:r>
      <w:r w:rsidRPr="00F70010">
        <w:rPr>
          <w:rFonts w:ascii="Arial" w:hAnsi="Arial" w:cs="Arial"/>
          <w:color w:val="333333"/>
          <w:lang w:val="es-ES_tradnl"/>
        </w:rPr>
        <w:t xml:space="preserve"> inoculada a un individuo, le inmuniza contra una enfermedad determinada (Manual de Normas de Habilitación para Farmacias, 2008).</w:t>
      </w:r>
    </w:p>
    <w:p w14:paraId="656402FC" w14:textId="77777777" w:rsidR="00F70010" w:rsidRPr="00F70010" w:rsidRDefault="00F70010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</w:p>
    <w:p w14:paraId="5B0C0769" w14:textId="490E5926" w:rsidR="00F70010" w:rsidRPr="00F70010" w:rsidRDefault="00F70010" w:rsidP="00B820A8">
      <w:pPr>
        <w:spacing w:after="0" w:line="276" w:lineRule="auto"/>
        <w:jc w:val="both"/>
        <w:rPr>
          <w:rFonts w:ascii="Arial" w:hAnsi="Arial" w:cs="Arial"/>
          <w:color w:val="333333"/>
          <w:lang w:val="es-ES_tradnl"/>
        </w:rPr>
      </w:pPr>
      <w:r w:rsidRPr="00F70010">
        <w:rPr>
          <w:rFonts w:ascii="Arial" w:hAnsi="Arial" w:cs="Arial"/>
          <w:b/>
          <w:bCs/>
          <w:color w:val="333333"/>
          <w:lang w:val="es-ES_tradnl"/>
        </w:rPr>
        <w:t>Farmacia privada o comunal:</w:t>
      </w:r>
      <w:r w:rsidRPr="00F70010">
        <w:rPr>
          <w:rFonts w:ascii="Arial" w:hAnsi="Arial" w:cs="Arial"/>
          <w:color w:val="333333"/>
          <w:lang w:val="es-ES_tradnl"/>
        </w:rPr>
        <w:t xml:space="preserve"> Farmacias que son financiadas con fondos no públicos o privados (Manual de Normas de Habilitación para Farmacias, 2008).</w:t>
      </w:r>
    </w:p>
    <w:p w14:paraId="4D0C6A27" w14:textId="77777777" w:rsidR="00F70010" w:rsidRPr="00F70010" w:rsidRDefault="00F70010" w:rsidP="00F7001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A7F105F" w14:textId="5C825C06" w:rsidR="00B15130" w:rsidRPr="007F6CDE" w:rsidRDefault="00B15130" w:rsidP="00BF35A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>[Agregar cualquier otra definición de relevancia que se considere necesaria para el pro</w:t>
      </w:r>
      <w:r w:rsidR="00393776">
        <w:rPr>
          <w:rFonts w:ascii="Arial" w:hAnsi="Arial" w:cs="Arial"/>
          <w:b/>
          <w:bCs/>
          <w:color w:val="FF0000"/>
        </w:rPr>
        <w:t>cedimiento</w:t>
      </w:r>
      <w:r w:rsidRPr="007F6CDE">
        <w:rPr>
          <w:rFonts w:ascii="Arial" w:hAnsi="Arial" w:cs="Arial"/>
          <w:b/>
          <w:bCs/>
          <w:color w:val="FF0000"/>
        </w:rPr>
        <w:t>]</w:t>
      </w:r>
    </w:p>
    <w:p w14:paraId="3D382567" w14:textId="77777777" w:rsidR="00080A80" w:rsidRPr="007F6CDE" w:rsidRDefault="00080A80" w:rsidP="00BF35A7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2DFFAF2B" w14:textId="77777777" w:rsidR="007B5047" w:rsidRPr="00ED2748" w:rsidRDefault="007B5047" w:rsidP="006C50DF">
      <w:pPr>
        <w:pStyle w:val="ListParagraph"/>
        <w:numPr>
          <w:ilvl w:val="0"/>
          <w:numId w:val="20"/>
        </w:numPr>
        <w:spacing w:line="276" w:lineRule="auto"/>
        <w:ind w:left="714" w:hanging="357"/>
        <w:contextualSpacing w:val="0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Equipo y materiales</w:t>
      </w:r>
    </w:p>
    <w:p w14:paraId="40A94CE0" w14:textId="7F31E8F3" w:rsidR="00080A80" w:rsidRPr="007F6CDE" w:rsidRDefault="00FF005C" w:rsidP="00B820A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>
        <w:rPr>
          <w:rFonts w:ascii="Arial" w:eastAsia="Times New Roman" w:hAnsi="Arial" w:cs="Arial"/>
          <w:lang w:val="es-CR" w:eastAsia="es-ES"/>
        </w:rPr>
        <w:t>Caja con tapa (de material plástico</w:t>
      </w:r>
      <w:r w:rsidR="00B820A8">
        <w:rPr>
          <w:rFonts w:ascii="Arial" w:eastAsia="Times New Roman" w:hAnsi="Arial" w:cs="Arial"/>
          <w:lang w:val="es-CR" w:eastAsia="es-ES"/>
        </w:rPr>
        <w:t>, vidrio o acero inoxidable</w:t>
      </w:r>
      <w:r>
        <w:rPr>
          <w:rFonts w:ascii="Arial" w:eastAsia="Times New Roman" w:hAnsi="Arial" w:cs="Arial"/>
          <w:lang w:val="es-CR" w:eastAsia="es-ES"/>
        </w:rPr>
        <w:t>)</w:t>
      </w:r>
      <w:r w:rsidR="00815462" w:rsidRPr="007F6CDE">
        <w:rPr>
          <w:rFonts w:ascii="Arial" w:eastAsia="Times New Roman" w:hAnsi="Arial" w:cs="Arial"/>
          <w:lang w:val="es-CR" w:eastAsia="es-ES"/>
        </w:rPr>
        <w:t>.</w:t>
      </w:r>
    </w:p>
    <w:p w14:paraId="564F69F8" w14:textId="62BBF0C8" w:rsidR="00815462" w:rsidRDefault="00F70010" w:rsidP="00B820A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>
        <w:rPr>
          <w:rFonts w:ascii="Arial" w:eastAsia="Times New Roman" w:hAnsi="Arial" w:cs="Arial"/>
          <w:lang w:val="es-CR" w:eastAsia="es-ES"/>
        </w:rPr>
        <w:t xml:space="preserve">Al menos </w:t>
      </w:r>
      <w:r w:rsidR="00886351">
        <w:rPr>
          <w:rFonts w:ascii="Arial" w:eastAsia="Times New Roman" w:hAnsi="Arial" w:cs="Arial"/>
          <w:lang w:val="es-CR" w:eastAsia="es-ES"/>
        </w:rPr>
        <w:t>1</w:t>
      </w:r>
      <w:r>
        <w:rPr>
          <w:rFonts w:ascii="Arial" w:eastAsia="Times New Roman" w:hAnsi="Arial" w:cs="Arial"/>
          <w:lang w:val="es-CR" w:eastAsia="es-ES"/>
        </w:rPr>
        <w:t xml:space="preserve"> ampolla de epinefrina (adrenalina) </w:t>
      </w:r>
      <w:r w:rsidR="00886351">
        <w:rPr>
          <w:rFonts w:ascii="Arial" w:eastAsia="Times New Roman" w:hAnsi="Arial" w:cs="Arial"/>
          <w:lang w:val="es-CR" w:eastAsia="es-ES"/>
        </w:rPr>
        <w:t xml:space="preserve">solución estéril para inyección intramuscular, concentración </w:t>
      </w:r>
      <w:r>
        <w:rPr>
          <w:rFonts w:ascii="Arial" w:eastAsia="Times New Roman" w:hAnsi="Arial" w:cs="Arial"/>
          <w:lang w:val="es-CR" w:eastAsia="es-ES"/>
        </w:rPr>
        <w:t xml:space="preserve">1:1000. </w:t>
      </w:r>
    </w:p>
    <w:p w14:paraId="5F111035" w14:textId="3CCB0CD1" w:rsidR="00886351" w:rsidRDefault="00886351" w:rsidP="00B820A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>
        <w:rPr>
          <w:rFonts w:ascii="Arial" w:eastAsia="Times New Roman" w:hAnsi="Arial" w:cs="Arial"/>
          <w:lang w:val="es-CR" w:eastAsia="es-ES"/>
        </w:rPr>
        <w:t>Jeringas estériles de diferentes tamaños y calibres.</w:t>
      </w:r>
    </w:p>
    <w:p w14:paraId="3FA12DF4" w14:textId="6D3B7BED" w:rsidR="00AD1B35" w:rsidRDefault="00AD1B35" w:rsidP="00B820A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 w:rsidRPr="007F6CDE">
        <w:rPr>
          <w:rFonts w:ascii="Arial" w:eastAsia="Times New Roman" w:hAnsi="Arial" w:cs="Arial"/>
          <w:lang w:val="es-CR" w:eastAsia="es-ES"/>
        </w:rPr>
        <w:t>Registro de capacitación al personal en este pro</w:t>
      </w:r>
      <w:r w:rsidR="00393776">
        <w:rPr>
          <w:rFonts w:ascii="Arial" w:eastAsia="Times New Roman" w:hAnsi="Arial" w:cs="Arial"/>
          <w:lang w:val="es-CR" w:eastAsia="es-ES"/>
        </w:rPr>
        <w:t>cedimiento</w:t>
      </w:r>
      <w:r w:rsidRPr="007F6CDE">
        <w:rPr>
          <w:rFonts w:ascii="Arial" w:eastAsia="Times New Roman" w:hAnsi="Arial" w:cs="Arial"/>
          <w:lang w:val="es-CR" w:eastAsia="es-ES"/>
        </w:rPr>
        <w:t xml:space="preserve">. </w:t>
      </w:r>
    </w:p>
    <w:p w14:paraId="1E0E1B2D" w14:textId="30BACD53" w:rsidR="00886351" w:rsidRPr="007F6CDE" w:rsidRDefault="00886351" w:rsidP="00BF35A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>
        <w:rPr>
          <w:rFonts w:ascii="Arial" w:eastAsia="Times New Roman" w:hAnsi="Arial" w:cs="Arial"/>
          <w:lang w:val="es-CR" w:eastAsia="es-ES"/>
        </w:rPr>
        <w:lastRenderedPageBreak/>
        <w:t xml:space="preserve">Cuadro de dosificación de epinefrina </w:t>
      </w:r>
      <w:r w:rsidR="00B62A99">
        <w:rPr>
          <w:rFonts w:ascii="Arial" w:eastAsia="Times New Roman" w:hAnsi="Arial" w:cs="Arial"/>
          <w:lang w:val="es-CR" w:eastAsia="es-ES"/>
        </w:rPr>
        <w:t xml:space="preserve">(adrenalina) </w:t>
      </w:r>
      <w:r>
        <w:rPr>
          <w:rFonts w:ascii="Arial" w:eastAsia="Times New Roman" w:hAnsi="Arial" w:cs="Arial"/>
          <w:lang w:val="es-CR" w:eastAsia="es-ES"/>
        </w:rPr>
        <w:t>1:1000</w:t>
      </w:r>
      <w:r w:rsidR="00B62A99">
        <w:rPr>
          <w:rFonts w:ascii="Arial" w:eastAsia="Times New Roman" w:hAnsi="Arial" w:cs="Arial"/>
          <w:lang w:val="es-CR" w:eastAsia="es-ES"/>
        </w:rPr>
        <w:t>, para adultos y niños (</w:t>
      </w:r>
      <w:r w:rsidR="0048380D">
        <w:rPr>
          <w:rFonts w:ascii="Arial" w:eastAsia="Times New Roman" w:hAnsi="Arial" w:cs="Arial"/>
          <w:lang w:val="es-CR" w:eastAsia="es-ES"/>
        </w:rPr>
        <w:t>Ver anexo 3</w:t>
      </w:r>
      <w:r w:rsidR="00B62A99">
        <w:rPr>
          <w:rFonts w:ascii="Arial" w:eastAsia="Times New Roman" w:hAnsi="Arial" w:cs="Arial"/>
          <w:lang w:val="es-CR" w:eastAsia="es-ES"/>
        </w:rPr>
        <w:t>)</w:t>
      </w:r>
      <w:r>
        <w:rPr>
          <w:rFonts w:ascii="Arial" w:eastAsia="Times New Roman" w:hAnsi="Arial" w:cs="Arial"/>
          <w:lang w:val="es-CR" w:eastAsia="es-ES"/>
        </w:rPr>
        <w:t>, impreso y colocado en un sitio visible del área de inyectables.</w:t>
      </w:r>
    </w:p>
    <w:p w14:paraId="256CC1D5" w14:textId="77777777" w:rsidR="00AD1B35" w:rsidRPr="007F6CDE" w:rsidRDefault="00AD1B35" w:rsidP="00BF35A7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5854DA33" w14:textId="2DBD6338" w:rsidR="00B02E55" w:rsidRPr="007F6CDE" w:rsidRDefault="00B15130" w:rsidP="00BF35A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CR" w:eastAsia="es-ES"/>
        </w:rPr>
      </w:pPr>
      <w:r w:rsidRPr="007F6CDE">
        <w:rPr>
          <w:rFonts w:ascii="Arial" w:hAnsi="Arial" w:cs="Arial"/>
          <w:b/>
          <w:bCs/>
          <w:color w:val="FF0000"/>
        </w:rPr>
        <w:t xml:space="preserve">[Colocar </w:t>
      </w:r>
      <w:r w:rsidR="00AE3138">
        <w:rPr>
          <w:rFonts w:ascii="Arial" w:hAnsi="Arial" w:cs="Arial"/>
          <w:b/>
          <w:bCs/>
          <w:color w:val="FF0000"/>
        </w:rPr>
        <w:t>cualquier otro</w:t>
      </w:r>
      <w:r w:rsidRPr="007F6CDE">
        <w:rPr>
          <w:rFonts w:ascii="Arial" w:hAnsi="Arial" w:cs="Arial"/>
          <w:b/>
          <w:bCs/>
          <w:color w:val="FF0000"/>
        </w:rPr>
        <w:t xml:space="preserve"> equipo </w:t>
      </w:r>
      <w:r w:rsidR="00AE3138">
        <w:rPr>
          <w:rFonts w:ascii="Arial" w:hAnsi="Arial" w:cs="Arial"/>
          <w:b/>
          <w:bCs/>
          <w:color w:val="FF0000"/>
        </w:rPr>
        <w:t>o</w:t>
      </w:r>
      <w:r w:rsidRPr="007F6CDE">
        <w:rPr>
          <w:rFonts w:ascii="Arial" w:hAnsi="Arial" w:cs="Arial"/>
          <w:b/>
          <w:bCs/>
          <w:color w:val="FF0000"/>
        </w:rPr>
        <w:t xml:space="preserve"> material</w:t>
      </w:r>
      <w:r w:rsidR="00AE3138">
        <w:rPr>
          <w:rFonts w:ascii="Arial" w:hAnsi="Arial" w:cs="Arial"/>
          <w:b/>
          <w:bCs/>
          <w:color w:val="FF0000"/>
        </w:rPr>
        <w:t xml:space="preserve"> necesario </w:t>
      </w:r>
      <w:r w:rsidRPr="007F6CDE">
        <w:rPr>
          <w:rFonts w:ascii="Arial" w:hAnsi="Arial" w:cs="Arial"/>
          <w:b/>
          <w:bCs/>
          <w:color w:val="FF0000"/>
        </w:rPr>
        <w:t>para el correcto y completo cumplimiento del pro</w:t>
      </w:r>
      <w:r w:rsidR="00393776">
        <w:rPr>
          <w:rFonts w:ascii="Arial" w:hAnsi="Arial" w:cs="Arial"/>
          <w:b/>
          <w:bCs/>
          <w:color w:val="FF0000"/>
        </w:rPr>
        <w:t>cedimiento</w:t>
      </w:r>
      <w:r w:rsidRPr="007F6CDE">
        <w:rPr>
          <w:rFonts w:ascii="Arial" w:hAnsi="Arial" w:cs="Arial"/>
          <w:b/>
          <w:bCs/>
          <w:color w:val="FF0000"/>
        </w:rPr>
        <w:t xml:space="preserve"> en el establecimiento.]</w:t>
      </w:r>
    </w:p>
    <w:p w14:paraId="4A43BDDA" w14:textId="1DE3FD8E" w:rsidR="0062093D" w:rsidRDefault="0062093D" w:rsidP="00BF35A7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4E82FD16" w14:textId="77777777" w:rsidR="006C50DF" w:rsidRPr="007F6CDE" w:rsidRDefault="006C50DF" w:rsidP="00BF35A7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23D7408B" w14:textId="2EBBE797" w:rsidR="00AD1B35" w:rsidRPr="00886351" w:rsidRDefault="00886351" w:rsidP="006C50DF">
      <w:pPr>
        <w:pStyle w:val="ListParagraph"/>
        <w:numPr>
          <w:ilvl w:val="0"/>
          <w:numId w:val="20"/>
        </w:numPr>
        <w:spacing w:line="276" w:lineRule="auto"/>
        <w:ind w:left="714" w:hanging="357"/>
        <w:contextualSpacing w:val="0"/>
        <w:rPr>
          <w:rFonts w:ascii="Arial" w:hAnsi="Arial" w:cs="Arial"/>
          <w:b/>
          <w:lang w:val="es-CR"/>
        </w:rPr>
      </w:pPr>
      <w:r w:rsidRPr="00886351">
        <w:rPr>
          <w:rFonts w:ascii="Arial" w:hAnsi="Arial" w:cs="Arial"/>
          <w:b/>
          <w:lang w:val="es-CR"/>
        </w:rPr>
        <w:t>Procedimiento</w:t>
      </w:r>
    </w:p>
    <w:p w14:paraId="75E87968" w14:textId="6643D70A" w:rsidR="00886351" w:rsidRPr="00886351" w:rsidRDefault="00886351" w:rsidP="00B820A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CR"/>
        </w:rPr>
      </w:pPr>
      <w:r w:rsidRPr="00886351">
        <w:rPr>
          <w:rFonts w:ascii="Arial" w:hAnsi="Arial" w:cs="Arial"/>
          <w:color w:val="000000"/>
          <w:lang w:val="es-CR"/>
        </w:rPr>
        <w:t xml:space="preserve">Identificar si el usuario/paciente presenta un shock anafiláctico, </w:t>
      </w:r>
      <w:proofErr w:type="gramStart"/>
      <w:r w:rsidRPr="00886351">
        <w:rPr>
          <w:rFonts w:ascii="Arial" w:hAnsi="Arial" w:cs="Arial"/>
          <w:color w:val="000000"/>
          <w:lang w:val="es-CR"/>
        </w:rPr>
        <w:t>de acuerdo a</w:t>
      </w:r>
      <w:proofErr w:type="gramEnd"/>
      <w:r w:rsidRPr="00886351">
        <w:rPr>
          <w:rFonts w:ascii="Arial" w:hAnsi="Arial" w:cs="Arial"/>
          <w:color w:val="000000"/>
          <w:lang w:val="es-CR"/>
        </w:rPr>
        <w:t xml:space="preserve"> lo descrito en este protocolo.</w:t>
      </w:r>
    </w:p>
    <w:p w14:paraId="58C2D7D9" w14:textId="1CDC11BF" w:rsidR="00886351" w:rsidRPr="00886351" w:rsidRDefault="00886351" w:rsidP="00B820A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CR"/>
        </w:rPr>
      </w:pPr>
      <w:r w:rsidRPr="00886351">
        <w:rPr>
          <w:rFonts w:ascii="Arial" w:hAnsi="Arial" w:cs="Arial"/>
          <w:color w:val="000000"/>
          <w:lang w:val="es-CR"/>
        </w:rPr>
        <w:t>En caso de que el usuario/paciente sí presente shock anafiláctico:(</w:t>
      </w:r>
      <w:r w:rsidR="00B820A8" w:rsidRPr="00886351">
        <w:rPr>
          <w:rFonts w:ascii="Arial" w:hAnsi="Arial" w:cs="Arial"/>
          <w:color w:val="000000"/>
          <w:lang w:val="es-CR"/>
        </w:rPr>
        <w:t>Resucitación</w:t>
      </w:r>
      <w:r w:rsidRPr="00886351">
        <w:rPr>
          <w:rFonts w:ascii="Arial" w:hAnsi="Arial" w:cs="Arial"/>
          <w:color w:val="000000"/>
          <w:lang w:val="es-CR"/>
        </w:rPr>
        <w:t xml:space="preserve"> Council, 2016)</w:t>
      </w:r>
    </w:p>
    <w:p w14:paraId="523A0EAF" w14:textId="2BEE3C88" w:rsidR="00886351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CR"/>
        </w:rPr>
      </w:pPr>
      <w:r w:rsidRPr="00886351">
        <w:rPr>
          <w:rFonts w:ascii="Arial" w:hAnsi="Arial" w:cs="Arial"/>
          <w:color w:val="000000"/>
          <w:lang w:val="es-CR"/>
        </w:rPr>
        <w:t>El farmacéutico deberá verificar el estado de las vías respiratorias, circulación y piel del paciente.</w:t>
      </w:r>
    </w:p>
    <w:p w14:paraId="2B155853" w14:textId="261C6547" w:rsidR="00886351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86351">
        <w:rPr>
          <w:rFonts w:ascii="Arial" w:hAnsi="Arial" w:cs="Arial"/>
          <w:color w:val="000000"/>
          <w:lang w:val="es-CR"/>
        </w:rPr>
        <w:t xml:space="preserve">Si el paciente está inconsciente y acostado, el farmacéutico debe colocarlo del lado izquierdo y posicionarlo para mantener despejada la vía aérea. </w:t>
      </w:r>
    </w:p>
    <w:p w14:paraId="7C635225" w14:textId="6B709FFA" w:rsidR="00D15C28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86351">
        <w:rPr>
          <w:rFonts w:ascii="Arial" w:hAnsi="Arial" w:cs="Arial"/>
          <w:color w:val="000000"/>
          <w:lang w:val="es-CR"/>
        </w:rPr>
        <w:t>Si el paciente está consciente, el farmacéutico debe acostarlo en decúbito supino con la cabeza hacia abajo y la posición hacia arriba (a menos que esto provoque dificultades respiratorias).</w:t>
      </w:r>
    </w:p>
    <w:p w14:paraId="5AB62664" w14:textId="5EF10031" w:rsidR="00886351" w:rsidRPr="00886351" w:rsidRDefault="00886351" w:rsidP="00B820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EA13EAD" w14:textId="0461B9D2" w:rsidR="00886351" w:rsidRPr="00886351" w:rsidRDefault="00886351" w:rsidP="0088635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886351">
        <w:rPr>
          <w:rFonts w:ascii="Arial" w:hAnsi="Arial" w:cs="Arial"/>
          <w:noProof/>
        </w:rPr>
        <w:drawing>
          <wp:inline distT="0" distB="0" distL="0" distR="0" wp14:anchorId="1985F73D" wp14:editId="436AA1C6">
            <wp:extent cx="5381625" cy="1714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6B2E" w14:textId="5ADF9005" w:rsidR="00886351" w:rsidRDefault="00886351" w:rsidP="00B820A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886351">
        <w:rPr>
          <w:rFonts w:ascii="Arial" w:hAnsi="Arial" w:cs="Arial"/>
        </w:rPr>
        <w:t>Imagen No 1. Decúbito supino con la cabeza hacia abajo y posición hacia arriba</w:t>
      </w:r>
    </w:p>
    <w:p w14:paraId="4DA504DB" w14:textId="77777777" w:rsidR="00B820A8" w:rsidRPr="00886351" w:rsidRDefault="00B820A8" w:rsidP="00B820A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14:paraId="2194CDB7" w14:textId="5A94D67D" w:rsidR="00886351" w:rsidRPr="00B820A8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820A8">
        <w:rPr>
          <w:rFonts w:ascii="Arial" w:hAnsi="Arial" w:cs="Arial"/>
        </w:rPr>
        <w:t>El farmacéutico deberá solicitar a un colaborador que pida asistencia mediante el 9-1-1 o servicio de ambulancia y nunca dejar solo al paciente.</w:t>
      </w:r>
    </w:p>
    <w:p w14:paraId="207F204A" w14:textId="16B45AE7" w:rsidR="00886351" w:rsidRPr="00B820A8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CR"/>
        </w:rPr>
      </w:pPr>
      <w:r w:rsidRPr="00B820A8">
        <w:rPr>
          <w:rFonts w:ascii="Arial" w:hAnsi="Arial" w:cs="Arial"/>
          <w:color w:val="000000"/>
          <w:lang w:val="es-CR"/>
        </w:rPr>
        <w:t xml:space="preserve">El farmacéutico deberá administrar adrenalina (epinefrina) por inyección intramuscular, en lado vaso lateral del músculo; si hay signos de anafilaxia con síntomas o signos </w:t>
      </w:r>
      <w:r w:rsidRPr="00B820A8">
        <w:rPr>
          <w:rFonts w:ascii="Arial" w:hAnsi="Arial" w:cs="Arial"/>
          <w:color w:val="000000"/>
          <w:lang w:val="es-CR"/>
        </w:rPr>
        <w:lastRenderedPageBreak/>
        <w:t>respiratorios y / o cardiovasculares, según las dosis referidas en el “Cuadro 1” de este documento.</w:t>
      </w:r>
    </w:p>
    <w:p w14:paraId="01CF725D" w14:textId="2981CCED" w:rsidR="00B62A9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R"/>
        </w:rPr>
      </w:pPr>
      <w:r>
        <w:rPr>
          <w:rFonts w:ascii="Arial" w:hAnsi="Arial" w:cs="Arial"/>
          <w:color w:val="000000"/>
          <w:lang w:val="es-CR"/>
        </w:rPr>
        <w:t>Cuadro N° 1. Medicamentos para el tratamiento de reacciones alérgicas moderadas y/o graves.</w:t>
      </w:r>
    </w:p>
    <w:p w14:paraId="739F59A4" w14:textId="77777777" w:rsidR="00B62A9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R"/>
        </w:rPr>
      </w:pPr>
    </w:p>
    <w:p w14:paraId="33EC5509" w14:textId="433ED599" w:rsidR="00B62A9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R"/>
        </w:rPr>
      </w:pPr>
      <w:r>
        <w:rPr>
          <w:noProof/>
        </w:rPr>
        <w:drawing>
          <wp:inline distT="0" distB="0" distL="0" distR="0" wp14:anchorId="7951CBE7" wp14:editId="53796F3B">
            <wp:extent cx="5971540" cy="2804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3382" w14:textId="71DA457A" w:rsidR="00B62A9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R"/>
        </w:rPr>
      </w:pPr>
    </w:p>
    <w:p w14:paraId="5DA85F37" w14:textId="77777777" w:rsidR="00B62A99" w:rsidRPr="00B62A9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R"/>
        </w:rPr>
      </w:pPr>
    </w:p>
    <w:p w14:paraId="32B7CAF0" w14:textId="77777777" w:rsidR="00886351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CR"/>
        </w:rPr>
      </w:pPr>
      <w:r w:rsidRPr="00886351">
        <w:rPr>
          <w:rFonts w:ascii="Arial" w:hAnsi="Arial" w:cs="Arial"/>
          <w:color w:val="000000"/>
          <w:lang w:val="es-CR"/>
        </w:rPr>
        <w:t>En caso de que a los 5 minutos el estado del paciente no mejore, debido a que continúan los problemas en las vías respiratorias, circulación y piel, el farmacéutico deberá repetir la dosis de epinefrina cada 5 minutos hasta que el paciente mejore, teniendo en cuenta la dosis máxima de epinefrina establecida en el “Cuadro 1” de este documento.</w:t>
      </w:r>
    </w:p>
    <w:p w14:paraId="5DA9AD3A" w14:textId="77777777" w:rsidR="00886351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CR"/>
        </w:rPr>
      </w:pPr>
      <w:r w:rsidRPr="00886351">
        <w:rPr>
          <w:rFonts w:ascii="Arial" w:hAnsi="Arial" w:cs="Arial"/>
          <w:color w:val="000000"/>
          <w:lang w:val="es-CR"/>
        </w:rPr>
        <w:t>El farmacéutico deberá hacer la gestión necesaria que permita el traslado del paciente aun Centro de Salud por parte de personal entrenado y con el equipo de traslado necesario.</w:t>
      </w:r>
    </w:p>
    <w:p w14:paraId="65611363" w14:textId="77777777" w:rsidR="00886351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86351">
        <w:rPr>
          <w:rFonts w:ascii="Arial" w:hAnsi="Arial" w:cs="Arial"/>
          <w:color w:val="000000"/>
          <w:lang w:val="es-CR"/>
        </w:rPr>
        <w:t>El farmacéutico deberá documentar el tiempo en que ocurrió y tardó el evento, la gestión realizada y la dosis de epinefrina administrada.</w:t>
      </w:r>
    </w:p>
    <w:p w14:paraId="3F73164E" w14:textId="327FA170" w:rsidR="00886351" w:rsidRPr="00886351" w:rsidRDefault="00886351" w:rsidP="00B820A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86351">
        <w:rPr>
          <w:rFonts w:ascii="Arial" w:hAnsi="Arial" w:cs="Arial"/>
        </w:rPr>
        <w:t>El farmacéutico deberá realizar la debida notificación de Sospecha de Reacción Adversa a Medicamentos ante el Centro Nacional de Farmacovigilancia.</w:t>
      </w:r>
    </w:p>
    <w:p w14:paraId="5542939D" w14:textId="5145F795" w:rsidR="00886351" w:rsidRDefault="00886351" w:rsidP="008863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437EDB1" w14:textId="70A65B9E" w:rsidR="008F02A2" w:rsidRDefault="008F02A2" w:rsidP="008863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159EB5" w14:textId="0D764539" w:rsidR="008F02A2" w:rsidRDefault="008F02A2" w:rsidP="008863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D4A496B" w14:textId="75EF39B4" w:rsidR="008F02A2" w:rsidRDefault="008F02A2" w:rsidP="008863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5859231" w14:textId="77777777" w:rsidR="008F02A2" w:rsidRPr="00886351" w:rsidRDefault="008F02A2" w:rsidP="008863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C661BF3" w14:textId="69E4BC49" w:rsidR="005D7401" w:rsidRPr="008F02A2" w:rsidRDefault="00DF1019" w:rsidP="006C50DF">
      <w:pPr>
        <w:pStyle w:val="ListParagraph"/>
        <w:numPr>
          <w:ilvl w:val="0"/>
          <w:numId w:val="20"/>
        </w:numPr>
        <w:spacing w:line="276" w:lineRule="auto"/>
        <w:ind w:left="714" w:hanging="357"/>
        <w:contextualSpacing w:val="0"/>
        <w:rPr>
          <w:rFonts w:ascii="Arial" w:hAnsi="Arial" w:cs="Arial"/>
          <w:b/>
          <w:lang w:val="es-CR"/>
        </w:rPr>
      </w:pPr>
      <w:r w:rsidRPr="008F02A2">
        <w:rPr>
          <w:rFonts w:ascii="Arial" w:hAnsi="Arial" w:cs="Arial"/>
          <w:b/>
          <w:lang w:val="es-CR"/>
        </w:rPr>
        <w:lastRenderedPageBreak/>
        <w:t>Documentos relacionados</w:t>
      </w:r>
    </w:p>
    <w:p w14:paraId="71E83ED9" w14:textId="7FB4F168" w:rsidR="00B62A99" w:rsidRPr="00B62A99" w:rsidRDefault="00B62A99" w:rsidP="006C50DF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Cs/>
          <w:lang w:val="es-CR"/>
        </w:rPr>
      </w:pPr>
      <w:r w:rsidRPr="00B62A99">
        <w:rPr>
          <w:rFonts w:ascii="Arial" w:hAnsi="Arial" w:cs="Arial"/>
          <w:bCs/>
          <w:lang w:val="es-CR"/>
        </w:rPr>
        <w:t xml:space="preserve">Procedimiento para la aplicación de medicamentos inyectables y/o vacunas en </w:t>
      </w:r>
      <w:r w:rsidRPr="00B62A99">
        <w:rPr>
          <w:rFonts w:ascii="Arial" w:hAnsi="Arial" w:cs="Arial"/>
          <w:b/>
          <w:color w:val="FF0000"/>
        </w:rPr>
        <w:t>[colocar nombre del establecimiento].</w:t>
      </w:r>
    </w:p>
    <w:p w14:paraId="0726C0E7" w14:textId="3CDC7E5B" w:rsidR="00B62A99" w:rsidRPr="00B62A99" w:rsidRDefault="00B62A99" w:rsidP="006C50DF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  <w:lang w:val="es-CR"/>
        </w:rPr>
      </w:pPr>
      <w:r>
        <w:rPr>
          <w:rFonts w:ascii="Arial" w:hAnsi="Arial" w:cs="Arial"/>
          <w:bCs/>
        </w:rPr>
        <w:t>Procedimiento de m</w:t>
      </w:r>
      <w:r w:rsidRPr="00B707D7">
        <w:rPr>
          <w:rFonts w:ascii="Arial" w:hAnsi="Arial" w:cs="Arial"/>
          <w:bCs/>
        </w:rPr>
        <w:t xml:space="preserve">anejo de fechas de vencimiento, obsolescencia y deterioro de medicamentos en </w:t>
      </w:r>
      <w:r w:rsidRPr="00B707D7">
        <w:rPr>
          <w:rFonts w:ascii="Arial" w:hAnsi="Arial" w:cs="Arial"/>
          <w:b/>
          <w:bCs/>
          <w:color w:val="FF0000"/>
        </w:rPr>
        <w:t>[colocar nombre del establecimiento].</w:t>
      </w:r>
    </w:p>
    <w:p w14:paraId="69F8F3C2" w14:textId="080FC8F3" w:rsidR="00B62A99" w:rsidRPr="00B707D7" w:rsidRDefault="000361E0" w:rsidP="006C50D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Procedimiento de f</w:t>
      </w:r>
      <w:r w:rsidR="00B62A99" w:rsidRPr="00B707D7">
        <w:rPr>
          <w:rFonts w:ascii="Arial" w:hAnsi="Arial" w:cs="Arial"/>
          <w:bCs/>
        </w:rPr>
        <w:t xml:space="preserve">unciones y responsabilidades </w:t>
      </w:r>
      <w:r>
        <w:rPr>
          <w:rFonts w:ascii="Arial" w:hAnsi="Arial" w:cs="Arial"/>
          <w:bCs/>
        </w:rPr>
        <w:t>de</w:t>
      </w:r>
      <w:r w:rsidR="00B62A99" w:rsidRPr="00B707D7">
        <w:rPr>
          <w:rFonts w:ascii="Arial" w:hAnsi="Arial" w:cs="Arial"/>
          <w:bCs/>
        </w:rPr>
        <w:t xml:space="preserve"> puestos en </w:t>
      </w:r>
      <w:r w:rsidR="00B62A99" w:rsidRPr="00B707D7">
        <w:rPr>
          <w:rFonts w:ascii="Arial" w:hAnsi="Arial" w:cs="Arial"/>
          <w:b/>
          <w:bCs/>
          <w:color w:val="FF0000"/>
        </w:rPr>
        <w:t>[colocar nombre del establecimiento].</w:t>
      </w:r>
    </w:p>
    <w:p w14:paraId="2F5613A8" w14:textId="448C6E9E" w:rsidR="00B62A99" w:rsidRPr="000361E0" w:rsidRDefault="000361E0" w:rsidP="006C50D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Procedimiento para el m</w:t>
      </w:r>
      <w:r w:rsidR="00B62A99" w:rsidRPr="00B707D7">
        <w:rPr>
          <w:rFonts w:ascii="Arial" w:hAnsi="Arial" w:cs="Arial"/>
          <w:bCs/>
        </w:rPr>
        <w:t xml:space="preserve">anejo de desechos infectocontagiosos en </w:t>
      </w:r>
      <w:r w:rsidR="00B62A99" w:rsidRPr="00B707D7">
        <w:rPr>
          <w:rFonts w:ascii="Arial" w:hAnsi="Arial" w:cs="Arial"/>
          <w:b/>
          <w:bCs/>
          <w:color w:val="FF0000"/>
        </w:rPr>
        <w:t>[colocar nombre del establecimiento].</w:t>
      </w:r>
    </w:p>
    <w:p w14:paraId="1142767A" w14:textId="73B93759" w:rsidR="000361E0" w:rsidRPr="000361E0" w:rsidRDefault="000361E0" w:rsidP="006C50D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 w:rsidRPr="000361E0">
        <w:rPr>
          <w:rFonts w:ascii="Arial" w:hAnsi="Arial" w:cs="Arial"/>
        </w:rPr>
        <w:t>Procedimiento para la prevención de enfermedades infectocontagiosas en</w:t>
      </w:r>
      <w:r w:rsidRPr="000361E0">
        <w:rPr>
          <w:rFonts w:ascii="Arial" w:hAnsi="Arial" w:cs="Arial"/>
          <w:bCs/>
        </w:rPr>
        <w:t xml:space="preserve"> </w:t>
      </w:r>
      <w:r w:rsidRPr="00B707D7">
        <w:rPr>
          <w:rFonts w:ascii="Arial" w:hAnsi="Arial" w:cs="Arial"/>
          <w:b/>
          <w:bCs/>
          <w:color w:val="FF0000"/>
        </w:rPr>
        <w:t>[colocar nombre del establecimiento].</w:t>
      </w:r>
    </w:p>
    <w:p w14:paraId="6F39E6B9" w14:textId="77777777" w:rsidR="000361E0" w:rsidRPr="000361E0" w:rsidRDefault="000361E0" w:rsidP="006C50D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Procedimiento para realizar farmacovigilancia en </w:t>
      </w:r>
      <w:r w:rsidRPr="00B707D7">
        <w:rPr>
          <w:rFonts w:ascii="Arial" w:hAnsi="Arial" w:cs="Arial"/>
          <w:b/>
          <w:bCs/>
          <w:color w:val="FF0000"/>
        </w:rPr>
        <w:t>[colocar nombre del establecimiento].</w:t>
      </w:r>
    </w:p>
    <w:p w14:paraId="5A7C8BC6" w14:textId="72BE0ECE" w:rsidR="000361E0" w:rsidRPr="00B707D7" w:rsidRDefault="000361E0" w:rsidP="006C50DF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Procedimiento para el manejo y conservación de la cadena de frío en </w:t>
      </w:r>
      <w:r w:rsidRPr="00B707D7">
        <w:rPr>
          <w:rFonts w:ascii="Arial" w:hAnsi="Arial" w:cs="Arial"/>
          <w:b/>
          <w:bCs/>
          <w:color w:val="FF0000"/>
        </w:rPr>
        <w:t>[colocar nombre del establecimiento].</w:t>
      </w:r>
    </w:p>
    <w:p w14:paraId="1CB64F55" w14:textId="77777777" w:rsidR="00B62A99" w:rsidRPr="00B62A99" w:rsidRDefault="00B62A99" w:rsidP="00B820A8">
      <w:pPr>
        <w:pStyle w:val="ListParagraph"/>
        <w:spacing w:line="276" w:lineRule="auto"/>
        <w:rPr>
          <w:rFonts w:ascii="Arial" w:hAnsi="Arial" w:cs="Arial"/>
          <w:b/>
          <w:lang w:val="es-CR"/>
        </w:rPr>
      </w:pPr>
    </w:p>
    <w:p w14:paraId="2551A6BB" w14:textId="77777777" w:rsidR="00314BDF" w:rsidRPr="007F6CDE" w:rsidRDefault="00314BDF" w:rsidP="00B820A8">
      <w:pPr>
        <w:pStyle w:val="ListParagraph"/>
        <w:spacing w:after="0" w:line="276" w:lineRule="auto"/>
        <w:rPr>
          <w:rFonts w:ascii="Arial" w:hAnsi="Arial" w:cs="Arial"/>
          <w:lang w:val="es-CR"/>
        </w:rPr>
      </w:pPr>
    </w:p>
    <w:p w14:paraId="5D403BA0" w14:textId="1A08031B" w:rsidR="00DE2CB7" w:rsidRPr="007F6CDE" w:rsidRDefault="00314BDF" w:rsidP="00B820A8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val="es-CR"/>
        </w:rPr>
      </w:pPr>
      <w:r w:rsidRPr="007F6CDE">
        <w:rPr>
          <w:rFonts w:ascii="Arial" w:hAnsi="Arial" w:cs="Arial"/>
          <w:b/>
          <w:bCs/>
          <w:color w:val="FF0000"/>
          <w:sz w:val="24"/>
          <w:szCs w:val="24"/>
          <w:lang w:val="es-CR"/>
        </w:rPr>
        <w:t>[Colocar los documentos, procedimientos o registros relacionados directamente con el pro</w:t>
      </w:r>
      <w:r w:rsidR="00393776">
        <w:rPr>
          <w:rFonts w:ascii="Arial" w:hAnsi="Arial" w:cs="Arial"/>
          <w:b/>
          <w:bCs/>
          <w:color w:val="FF0000"/>
          <w:sz w:val="24"/>
          <w:szCs w:val="24"/>
          <w:lang w:val="es-CR"/>
        </w:rPr>
        <w:t>cedimiento</w:t>
      </w:r>
      <w:r w:rsidRPr="007F6CDE">
        <w:rPr>
          <w:rFonts w:ascii="Arial" w:hAnsi="Arial" w:cs="Arial"/>
          <w:b/>
          <w:bCs/>
          <w:color w:val="FF0000"/>
          <w:sz w:val="24"/>
          <w:szCs w:val="24"/>
          <w:lang w:val="es-CR"/>
        </w:rPr>
        <w:t>]</w:t>
      </w:r>
    </w:p>
    <w:p w14:paraId="043C5AF2" w14:textId="77777777" w:rsidR="00AE0A49" w:rsidRPr="007F6CDE" w:rsidRDefault="00AE0A49" w:rsidP="00B820A8">
      <w:pPr>
        <w:spacing w:line="276" w:lineRule="auto"/>
        <w:rPr>
          <w:rFonts w:ascii="Arial" w:hAnsi="Arial" w:cs="Arial"/>
          <w:b/>
          <w:sz w:val="24"/>
          <w:szCs w:val="24"/>
          <w:lang w:val="es-CR"/>
        </w:rPr>
      </w:pPr>
    </w:p>
    <w:p w14:paraId="1A79A605" w14:textId="58DE91D5" w:rsidR="00D239CE" w:rsidRPr="008F02A2" w:rsidRDefault="00D239CE" w:rsidP="008F02A2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8F02A2">
        <w:rPr>
          <w:rFonts w:ascii="Arial" w:hAnsi="Arial" w:cs="Arial"/>
          <w:b/>
          <w:lang w:val="es-CR"/>
        </w:rPr>
        <w:t>Referencias</w:t>
      </w:r>
    </w:p>
    <w:p w14:paraId="1648E7B5" w14:textId="42AE0F99" w:rsid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>Costa Rica. Ley General de Salud.</w:t>
      </w:r>
      <w:r w:rsidR="002C6B72">
        <w:rPr>
          <w:rFonts w:ascii="Arial" w:hAnsi="Arial" w:cs="Arial"/>
          <w:color w:val="000000"/>
          <w:sz w:val="23"/>
          <w:szCs w:val="23"/>
          <w:lang w:val="es-CR"/>
        </w:rPr>
        <w:t xml:space="preserve"> </w:t>
      </w:r>
      <w:r w:rsidRPr="00B62A99"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Diario Oficial La Gaceta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>. 24 de noviembre de 1973, Ley No 5395.</w:t>
      </w:r>
    </w:p>
    <w:p w14:paraId="5CAA5DE8" w14:textId="77777777" w:rsidR="00B62A99" w:rsidRP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05EDDAA2" w14:textId="0EE182D9" w:rsid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Costa Rica. Manual de normas para la habilitación de farmacias. </w:t>
      </w:r>
      <w:r w:rsidRPr="00B62A99"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Diario Oficial La Gaceta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>. 7 de septiembre de 2004, No 31969-S.</w:t>
      </w:r>
    </w:p>
    <w:p w14:paraId="7C657214" w14:textId="77777777" w:rsidR="00B62A99" w:rsidRP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10E91E18" w14:textId="1798BE01" w:rsid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Diccionario de la Real Academia </w:t>
      </w:r>
      <w:r w:rsidR="008F02A2" w:rsidRPr="00B62A99">
        <w:rPr>
          <w:rFonts w:ascii="Arial" w:hAnsi="Arial" w:cs="Arial"/>
          <w:color w:val="000000"/>
          <w:sz w:val="23"/>
          <w:szCs w:val="23"/>
          <w:lang w:val="es-CR"/>
        </w:rPr>
        <w:t>Española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>. (2017).</w:t>
      </w:r>
      <w:r w:rsidR="002C6B72">
        <w:rPr>
          <w:rFonts w:ascii="Arial" w:hAnsi="Arial" w:cs="Arial"/>
          <w:color w:val="000000"/>
          <w:sz w:val="23"/>
          <w:szCs w:val="23"/>
          <w:lang w:val="es-CR"/>
        </w:rPr>
        <w:t xml:space="preserve"> 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Definición de alimento. Recuperado en: </w:t>
      </w:r>
      <w:hyperlink r:id="rId10" w:history="1">
        <w:r w:rsidRPr="004A421F">
          <w:rPr>
            <w:rStyle w:val="Hyperlink"/>
            <w:rFonts w:ascii="Arial" w:hAnsi="Arial" w:cs="Arial"/>
            <w:sz w:val="23"/>
            <w:szCs w:val="23"/>
            <w:lang w:val="es-CR"/>
          </w:rPr>
          <w:t>http://dle.rae.es/?id=1rm36tt</w:t>
        </w:r>
      </w:hyperlink>
    </w:p>
    <w:p w14:paraId="6FFD624D" w14:textId="77777777" w:rsidR="00B62A99" w:rsidRP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5A343CC2" w14:textId="0469B8F2" w:rsidR="00B62A99" w:rsidRPr="00FA43E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 xml:space="preserve">Glen Bayer Martindale: The complete  drug reference. 38th ed vol 38  2015 </w:t>
      </w:r>
      <w:hyperlink r:id="rId11" w:history="1">
        <w:r w:rsidRPr="00FA43E9">
          <w:rPr>
            <w:rStyle w:val="Hyperlink"/>
            <w:rFonts w:ascii="Arial" w:hAnsi="Arial" w:cs="Arial"/>
            <w:sz w:val="23"/>
            <w:szCs w:val="23"/>
            <w:lang w:val="en-US"/>
          </w:rPr>
          <w:t>https://www.ncbi.nlm.nih.gov/pmc/articles/PMC4653989/</w:t>
        </w:r>
      </w:hyperlink>
    </w:p>
    <w:p w14:paraId="695504A6" w14:textId="77777777" w:rsidR="00B62A99" w:rsidRPr="00FA43E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10BC79A" w14:textId="41BDE3F5" w:rsid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lastRenderedPageBreak/>
        <w:t xml:space="preserve">Mendoza </w:t>
      </w:r>
      <w:r w:rsidR="008F02A2" w:rsidRPr="00B62A99">
        <w:rPr>
          <w:rFonts w:ascii="Arial" w:hAnsi="Arial" w:cs="Arial"/>
          <w:color w:val="000000"/>
          <w:sz w:val="23"/>
          <w:szCs w:val="23"/>
          <w:lang w:val="es-CR"/>
        </w:rPr>
        <w:t>Magaña, M., Rosas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 </w:t>
      </w:r>
      <w:r w:rsidR="008F02A2" w:rsidRPr="00B62A99">
        <w:rPr>
          <w:rFonts w:ascii="Arial" w:hAnsi="Arial" w:cs="Arial"/>
          <w:color w:val="000000"/>
          <w:sz w:val="23"/>
          <w:szCs w:val="23"/>
          <w:lang w:val="es-CR"/>
        </w:rPr>
        <w:t>Vargas, M., Guillén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 </w:t>
      </w:r>
      <w:r w:rsidR="008F02A2" w:rsidRPr="00B62A99">
        <w:rPr>
          <w:rFonts w:ascii="Arial" w:hAnsi="Arial" w:cs="Arial"/>
          <w:color w:val="000000"/>
          <w:sz w:val="23"/>
          <w:szCs w:val="23"/>
          <w:lang w:val="es-CR"/>
        </w:rPr>
        <w:t>Escalón, J., Moncada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 </w:t>
      </w:r>
      <w:r w:rsidR="008F02A2" w:rsidRPr="00B62A99">
        <w:rPr>
          <w:rFonts w:ascii="Arial" w:hAnsi="Arial" w:cs="Arial"/>
          <w:color w:val="000000"/>
          <w:sz w:val="23"/>
          <w:szCs w:val="23"/>
          <w:lang w:val="es-CR"/>
        </w:rPr>
        <w:t>Alcon, A., del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 Río </w:t>
      </w:r>
      <w:r w:rsidR="008F02A2" w:rsidRPr="00B62A99">
        <w:rPr>
          <w:rFonts w:ascii="Arial" w:hAnsi="Arial" w:cs="Arial"/>
          <w:color w:val="000000"/>
          <w:sz w:val="23"/>
          <w:szCs w:val="23"/>
          <w:lang w:val="es-CR"/>
        </w:rPr>
        <w:t>Navarro, B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 y Sienra Monge, J. (2007). Anafilaxia y choque anafiláctico. </w:t>
      </w:r>
      <w:r w:rsidRPr="00B62A99"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Revista Alergia México, 54, (2),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>34-40.</w:t>
      </w:r>
    </w:p>
    <w:p w14:paraId="15FEEC11" w14:textId="77777777" w:rsidR="00B62A99" w:rsidRP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5BF532B7" w14:textId="13D3197F" w:rsid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MedlinePlus. (2017). </w:t>
      </w:r>
      <w:r w:rsidRPr="00B62A99"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Síntomas comunes de las reacciones alérgicas leves</w:t>
      </w:r>
      <w:r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.</w:t>
      </w:r>
    </w:p>
    <w:p w14:paraId="6F8F4ABA" w14:textId="77777777" w:rsidR="00B62A99" w:rsidRP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68A7732A" w14:textId="02445DE7" w:rsidR="00B62A99" w:rsidRPr="00FA43E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 xml:space="preserve">Medicines Complete. (2017). </w:t>
      </w:r>
      <w:r w:rsidRPr="00FA43E9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t>Epinefrina</w:t>
      </w:r>
      <w:r w:rsidRPr="00FA43E9">
        <w:rPr>
          <w:rFonts w:ascii="Arial" w:hAnsi="Arial" w:cs="Arial"/>
          <w:color w:val="000000"/>
          <w:sz w:val="23"/>
          <w:szCs w:val="23"/>
          <w:lang w:val="en-US"/>
        </w:rPr>
        <w:t xml:space="preserve">. AHFS Drug Information. </w:t>
      </w:r>
    </w:p>
    <w:p w14:paraId="420814D9" w14:textId="77777777" w:rsidR="00B62A99" w:rsidRPr="00FA43E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AFA068B" w14:textId="2485E7EB" w:rsidR="00B62A99" w:rsidRPr="00FA43E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>Mestre Rodríguez M 1998 y Resuscitation Council (UK), 2016.</w:t>
      </w:r>
    </w:p>
    <w:p w14:paraId="401EF77D" w14:textId="77777777" w:rsidR="00B62A99" w:rsidRPr="00FA43E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64D9FF1A" w14:textId="7F095D6F" w:rsid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 xml:space="preserve">Murrant T; Bihari D. 2000.Anaphylaxis and anaphylactoid reactions. 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>Int J Clin Pract 54 (5): 322-328.</w:t>
      </w:r>
    </w:p>
    <w:p w14:paraId="2552622A" w14:textId="77777777" w:rsidR="00B62A99" w:rsidRPr="00B62A99" w:rsidRDefault="00B62A99" w:rsidP="00B820A8">
      <w:pPr>
        <w:autoSpaceDE w:val="0"/>
        <w:autoSpaceDN w:val="0"/>
        <w:adjustRightInd w:val="0"/>
        <w:spacing w:after="0" w:line="276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1A1C64FC" w14:textId="4EAA9F92" w:rsidR="00B62A9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Organización Mundial de la Salud (OMS). (2017). </w:t>
      </w:r>
      <w:r w:rsidRPr="00B62A99"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Definición de Vacuna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. Recuperado de: </w:t>
      </w:r>
      <w:hyperlink r:id="rId12" w:history="1">
        <w:r w:rsidRPr="004A421F">
          <w:rPr>
            <w:rStyle w:val="Hyperlink"/>
            <w:rFonts w:ascii="Arial" w:hAnsi="Arial" w:cs="Arial"/>
            <w:sz w:val="23"/>
            <w:szCs w:val="23"/>
            <w:lang w:val="es-CR"/>
          </w:rPr>
          <w:t>http://www.who.int/topics/vaccines/es/</w:t>
        </w:r>
      </w:hyperlink>
    </w:p>
    <w:p w14:paraId="014AB048" w14:textId="77777777" w:rsidR="00B62A99" w:rsidRPr="00B62A9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4E5AD789" w14:textId="5CA2B878" w:rsidR="00B62A9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Organización Mundial de la Salud (OMS). (2004). Sección 3: Antialérgicos y fármacos utilizados en la anafilaxia. </w:t>
      </w:r>
      <w:r w:rsidRPr="00B62A99">
        <w:rPr>
          <w:rFonts w:ascii="Arial" w:hAnsi="Arial" w:cs="Arial"/>
          <w:i/>
          <w:iCs/>
          <w:color w:val="000000"/>
          <w:sz w:val="23"/>
          <w:szCs w:val="23"/>
          <w:lang w:val="es-CR"/>
        </w:rPr>
        <w:t>Formulario Modelo de la OMS</w:t>
      </w:r>
      <w:r w:rsidRPr="00B62A99">
        <w:rPr>
          <w:rFonts w:ascii="Arial" w:hAnsi="Arial" w:cs="Arial"/>
          <w:color w:val="000000"/>
          <w:sz w:val="23"/>
          <w:szCs w:val="23"/>
          <w:lang w:val="es-CR"/>
        </w:rPr>
        <w:t xml:space="preserve">. Recuperado de: </w:t>
      </w:r>
      <w:hyperlink r:id="rId13" w:history="1">
        <w:r w:rsidRPr="004A421F">
          <w:rPr>
            <w:rStyle w:val="Hyperlink"/>
            <w:rFonts w:ascii="Arial" w:hAnsi="Arial" w:cs="Arial"/>
            <w:sz w:val="23"/>
            <w:szCs w:val="23"/>
            <w:lang w:val="es-CR"/>
          </w:rPr>
          <w:t>http://archives.who.int/eml/wmf/2004/Spanish/pdf/Sec3-04.pdf</w:t>
        </w:r>
      </w:hyperlink>
    </w:p>
    <w:p w14:paraId="6A181DB5" w14:textId="77777777" w:rsidR="00B62A99" w:rsidRPr="00B62A9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s-CR"/>
        </w:rPr>
      </w:pPr>
    </w:p>
    <w:p w14:paraId="5F58E2B5" w14:textId="47BEEDB1" w:rsidR="003C75C0" w:rsidRPr="00FA43E9" w:rsidRDefault="00B62A99" w:rsidP="00B62A99">
      <w:pPr>
        <w:spacing w:line="276" w:lineRule="auto"/>
        <w:ind w:left="708" w:hanging="708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>Resuscitation Council (UK). (2016). Emergency treatment of anaphylactic reactions. Guidelines for healthcare providers.</w:t>
      </w:r>
    </w:p>
    <w:p w14:paraId="4C3697A6" w14:textId="224273CF" w:rsidR="00B62A99" w:rsidRPr="00FA43E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 xml:space="preserve">Vasilis Lagopoulos, Lida-Maria Court, Thermi 57001, Thessaloniki2011 Hippokratia v15 (2) 138-140 </w:t>
      </w:r>
      <w:hyperlink r:id="rId14" w:history="1">
        <w:r w:rsidRPr="00FA43E9">
          <w:rPr>
            <w:rStyle w:val="Hyperlink"/>
            <w:rFonts w:ascii="Arial" w:hAnsi="Arial" w:cs="Arial"/>
            <w:sz w:val="23"/>
            <w:szCs w:val="23"/>
            <w:lang w:val="en-US"/>
          </w:rPr>
          <w:t>https://www.ncbi.nlm.nih.gov/pmc/articles/PMC3209676/</w:t>
        </w:r>
      </w:hyperlink>
    </w:p>
    <w:p w14:paraId="36D4E2FE" w14:textId="77777777" w:rsidR="00B62A99" w:rsidRPr="00FA43E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65649990" w14:textId="3C8DEFDA" w:rsidR="00B62A99" w:rsidRPr="00FA43E9" w:rsidRDefault="00B62A99" w:rsidP="00B62A9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>Wasserman SI. Approach to the patient with allergic or immunologic disease. In: Goldman L, Schafer AI, eds.</w:t>
      </w:r>
      <w:r w:rsidRPr="00FA43E9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Goldman's Cecil Medicine</w:t>
      </w:r>
      <w:r w:rsidRPr="00FA43E9">
        <w:rPr>
          <w:rFonts w:ascii="Arial" w:hAnsi="Arial" w:cs="Arial"/>
          <w:color w:val="000000"/>
          <w:sz w:val="23"/>
          <w:szCs w:val="23"/>
          <w:lang w:val="en-US"/>
        </w:rPr>
        <w:t>. 25th ed. Philadelphia, PA: Elsevier Saunders; 2016:</w:t>
      </w:r>
      <w:r w:rsidR="008F02A2" w:rsidRPr="00FA43E9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Pr="00FA43E9">
        <w:rPr>
          <w:rFonts w:ascii="Arial" w:hAnsi="Arial" w:cs="Arial"/>
          <w:color w:val="000000"/>
          <w:sz w:val="23"/>
          <w:szCs w:val="23"/>
          <w:lang w:val="en-US"/>
        </w:rPr>
        <w:t>chap 249.</w:t>
      </w:r>
    </w:p>
    <w:p w14:paraId="291E11CF" w14:textId="77777777" w:rsidR="00B62A99" w:rsidRPr="00FA43E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F64167B" w14:textId="019DFCFB" w:rsidR="00B62A99" w:rsidRPr="00FA43E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FA43E9">
        <w:rPr>
          <w:rFonts w:ascii="Arial" w:hAnsi="Arial" w:cs="Arial"/>
          <w:color w:val="000000"/>
          <w:sz w:val="23"/>
          <w:szCs w:val="23"/>
          <w:lang w:val="en-US"/>
        </w:rPr>
        <w:t>Wolters Kluwer Health. (2014). Anaphylaxis: Rapid recognition and treatment</w:t>
      </w:r>
    </w:p>
    <w:p w14:paraId="24FEE74D" w14:textId="77777777" w:rsidR="00B62A99" w:rsidRPr="00FA43E9" w:rsidRDefault="00B62A99" w:rsidP="00B62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2B17878" w14:textId="1DBF5F7A" w:rsidR="00B62A99" w:rsidRPr="00B62A99" w:rsidRDefault="00B62A99" w:rsidP="00B62A99">
      <w:pPr>
        <w:spacing w:line="276" w:lineRule="auto"/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  <w:r w:rsidRPr="00B62A99">
        <w:rPr>
          <w:rFonts w:ascii="Arial" w:hAnsi="Arial" w:cs="Arial"/>
          <w:color w:val="000000"/>
          <w:sz w:val="23"/>
          <w:szCs w:val="23"/>
          <w:lang w:val="es-CR"/>
        </w:rPr>
        <w:t>Zubeldia, J.M., Baeza, M.L., Jáuregui, I &amp; Senent, C. (2012). Libro de las enfermedades alérgicas de la Fundación BBVA. Primera Edición. España.</w:t>
      </w:r>
    </w:p>
    <w:p w14:paraId="419E8E44" w14:textId="77777777" w:rsidR="003C75C0" w:rsidRDefault="003C75C0" w:rsidP="00BF35A7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C0A88F3" w14:textId="6C327128" w:rsidR="003C75C0" w:rsidRDefault="003C75C0" w:rsidP="00BF35A7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E7B8DE7" w14:textId="6F1706B4" w:rsidR="003C75C0" w:rsidRDefault="003C75C0" w:rsidP="00421C56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W w:w="8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369"/>
      </w:tblGrid>
      <w:tr w:rsidR="003C75C0" w:rsidRPr="003C75C0" w14:paraId="53EFD574" w14:textId="77777777" w:rsidTr="00421C56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6FD7" w14:textId="77777777"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8D8" w14:textId="77777777"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E2DD" w14:textId="77777777"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B33" w14:textId="77777777"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8EDF" w14:textId="77777777" w:rsidR="003C75C0" w:rsidRPr="003C75C0" w:rsidRDefault="003C75C0" w:rsidP="003C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R" w:eastAsia="es-CR"/>
              </w:rPr>
            </w:pPr>
          </w:p>
        </w:tc>
      </w:tr>
    </w:tbl>
    <w:p w14:paraId="3254BB65" w14:textId="77777777" w:rsidR="003C75C0" w:rsidRPr="007F6CDE" w:rsidRDefault="003C75C0" w:rsidP="003C75C0">
      <w:pPr>
        <w:tabs>
          <w:tab w:val="left" w:pos="4678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5DB8AE2F" w14:textId="5A169FDA" w:rsidR="00ED2748" w:rsidRPr="00ED2748" w:rsidRDefault="00ED2748" w:rsidP="008F02A2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Anexo</w:t>
      </w:r>
      <w:r w:rsidR="008F02A2">
        <w:rPr>
          <w:rFonts w:ascii="Arial" w:hAnsi="Arial" w:cs="Arial"/>
          <w:b/>
          <w:lang w:val="es-CR"/>
        </w:rPr>
        <w:t>s</w:t>
      </w:r>
    </w:p>
    <w:p w14:paraId="45B8C83B" w14:textId="7F344493" w:rsidR="00ED2748" w:rsidRPr="007F6CDE" w:rsidRDefault="00ED2748" w:rsidP="00ED2748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1: </w:t>
      </w:r>
      <w:r w:rsidRPr="007F6CDE">
        <w:rPr>
          <w:rFonts w:ascii="Arial" w:hAnsi="Arial" w:cs="Arial"/>
          <w:b/>
          <w:bCs/>
        </w:rPr>
        <w:t xml:space="preserve">Registro de </w:t>
      </w:r>
      <w:r>
        <w:rPr>
          <w:rFonts w:ascii="Arial" w:hAnsi="Arial" w:cs="Arial"/>
          <w:b/>
          <w:bCs/>
        </w:rPr>
        <w:t>firmas de aprobación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71"/>
        <w:gridCol w:w="3599"/>
        <w:gridCol w:w="1276"/>
        <w:gridCol w:w="2947"/>
      </w:tblGrid>
      <w:tr w:rsidR="00ED2748" w:rsidRPr="007F6CDE" w14:paraId="5119BF59" w14:textId="16A3E848" w:rsidTr="00ED2748">
        <w:tc>
          <w:tcPr>
            <w:tcW w:w="1609" w:type="dxa"/>
          </w:tcPr>
          <w:p w14:paraId="2017473E" w14:textId="047971C4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Fecha (</w:t>
            </w:r>
            <w:r w:rsidR="008F02A2" w:rsidRPr="007F6CDE">
              <w:rPr>
                <w:rFonts w:ascii="Arial" w:hAnsi="Arial" w:cs="Arial"/>
                <w:b/>
                <w:bCs/>
              </w:rPr>
              <w:t>d</w:t>
            </w:r>
            <w:r w:rsidR="008F02A2">
              <w:rPr>
                <w:rFonts w:ascii="Arial" w:hAnsi="Arial" w:cs="Arial"/>
                <w:b/>
                <w:bCs/>
              </w:rPr>
              <w:t>ía</w:t>
            </w:r>
            <w:r w:rsidRPr="007F6CDE">
              <w:rPr>
                <w:rFonts w:ascii="Arial" w:hAnsi="Arial" w:cs="Arial"/>
                <w:b/>
                <w:bCs/>
              </w:rPr>
              <w:t>/m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7F6CDE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>ño</w:t>
            </w:r>
            <w:r w:rsidRPr="007F6CD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31" w:type="dxa"/>
          </w:tcPr>
          <w:p w14:paraId="3814DD3B" w14:textId="38BC95BA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 xml:space="preserve">Nombre </w:t>
            </w:r>
            <w:r>
              <w:rPr>
                <w:rFonts w:ascii="Arial" w:hAnsi="Arial" w:cs="Arial"/>
                <w:b/>
                <w:bCs/>
              </w:rPr>
              <w:t>completo del regente</w:t>
            </w:r>
          </w:p>
        </w:tc>
        <w:tc>
          <w:tcPr>
            <w:tcW w:w="1279" w:type="dxa"/>
          </w:tcPr>
          <w:p w14:paraId="7BCF0C59" w14:textId="1371591B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Código </w:t>
            </w:r>
            <w:r w:rsidRPr="007F6CDE">
              <w:rPr>
                <w:rFonts w:ascii="Arial" w:hAnsi="Arial" w:cs="Arial"/>
                <w:b/>
                <w:bCs/>
              </w:rPr>
              <w:t>Regente</w:t>
            </w:r>
          </w:p>
        </w:tc>
        <w:tc>
          <w:tcPr>
            <w:tcW w:w="2974" w:type="dxa"/>
          </w:tcPr>
          <w:p w14:paraId="2912D12C" w14:textId="0C67D2D8" w:rsidR="00ED2748" w:rsidRDefault="00ED2748" w:rsidP="00ED2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Firma y cédula</w:t>
            </w:r>
          </w:p>
        </w:tc>
      </w:tr>
      <w:tr w:rsidR="00ED2748" w:rsidRPr="007F6CDE" w14:paraId="5CF13993" w14:textId="51EF559B" w:rsidTr="00ED2748">
        <w:trPr>
          <w:trHeight w:val="589"/>
        </w:trPr>
        <w:tc>
          <w:tcPr>
            <w:tcW w:w="1609" w:type="dxa"/>
          </w:tcPr>
          <w:p w14:paraId="63CE8D7A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6165A7D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0ECCAC0D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65B4063B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6C019D07" w14:textId="465FE6FD" w:rsidTr="00ED2748">
        <w:trPr>
          <w:trHeight w:val="559"/>
        </w:trPr>
        <w:tc>
          <w:tcPr>
            <w:tcW w:w="1609" w:type="dxa"/>
          </w:tcPr>
          <w:p w14:paraId="2D3AA7DA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E461BCE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41DA3A76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682D64C7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6C2984DF" w14:textId="30802393" w:rsidTr="00ED2748">
        <w:trPr>
          <w:trHeight w:val="563"/>
        </w:trPr>
        <w:tc>
          <w:tcPr>
            <w:tcW w:w="1609" w:type="dxa"/>
          </w:tcPr>
          <w:p w14:paraId="14F1FF6B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2E078AD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7C2EDCC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EE18CDA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487E8B44" w14:textId="6DE567DA" w:rsidTr="00ED2748">
        <w:trPr>
          <w:trHeight w:val="543"/>
        </w:trPr>
        <w:tc>
          <w:tcPr>
            <w:tcW w:w="1609" w:type="dxa"/>
          </w:tcPr>
          <w:p w14:paraId="0FDB5015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B9BECD9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6A3D309B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4CDFC2D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3951E82B" w14:textId="3D500611" w:rsidTr="00ED2748">
        <w:trPr>
          <w:trHeight w:val="571"/>
        </w:trPr>
        <w:tc>
          <w:tcPr>
            <w:tcW w:w="1609" w:type="dxa"/>
          </w:tcPr>
          <w:p w14:paraId="39B18B31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B35A852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43967DA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42058B19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35C3CA1C" w14:textId="77777777" w:rsidTr="00ED2748">
        <w:trPr>
          <w:trHeight w:val="571"/>
        </w:trPr>
        <w:tc>
          <w:tcPr>
            <w:tcW w:w="1609" w:type="dxa"/>
          </w:tcPr>
          <w:p w14:paraId="750019DC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FECF453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6065E11A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F799131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68D18031" w14:textId="77777777" w:rsidTr="00ED2748">
        <w:trPr>
          <w:trHeight w:val="571"/>
        </w:trPr>
        <w:tc>
          <w:tcPr>
            <w:tcW w:w="1609" w:type="dxa"/>
          </w:tcPr>
          <w:p w14:paraId="753BA635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C642FBA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7A879868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EEEC392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2748" w:rsidRPr="007F6CDE" w14:paraId="02DAA759" w14:textId="77777777" w:rsidTr="00ED2748">
        <w:trPr>
          <w:trHeight w:val="571"/>
        </w:trPr>
        <w:tc>
          <w:tcPr>
            <w:tcW w:w="1609" w:type="dxa"/>
          </w:tcPr>
          <w:p w14:paraId="58299062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D94F2C4" w14:textId="77777777" w:rsidR="00ED2748" w:rsidRPr="007F6CDE" w:rsidRDefault="00ED2748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66322A02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D8282A4" w14:textId="77777777" w:rsidR="00ED2748" w:rsidRPr="007F6CDE" w:rsidRDefault="00ED2748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A43E9" w:rsidRPr="007F6CDE" w14:paraId="5705770B" w14:textId="77777777" w:rsidTr="00ED2748">
        <w:trPr>
          <w:trHeight w:val="571"/>
        </w:trPr>
        <w:tc>
          <w:tcPr>
            <w:tcW w:w="1609" w:type="dxa"/>
          </w:tcPr>
          <w:p w14:paraId="0FE34D0E" w14:textId="77777777" w:rsidR="00FA43E9" w:rsidRPr="007F6CDE" w:rsidRDefault="00FA43E9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E0FD141" w14:textId="77777777" w:rsidR="00FA43E9" w:rsidRPr="007F6CDE" w:rsidRDefault="00FA43E9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FDB62CF" w14:textId="77777777" w:rsidR="00FA43E9" w:rsidRPr="007F6CDE" w:rsidRDefault="00FA43E9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7E6A81E0" w14:textId="77777777" w:rsidR="00FA43E9" w:rsidRPr="007F6CDE" w:rsidRDefault="00FA43E9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A43E9" w:rsidRPr="007F6CDE" w14:paraId="5CCE74A9" w14:textId="77777777" w:rsidTr="00ED2748">
        <w:trPr>
          <w:trHeight w:val="571"/>
        </w:trPr>
        <w:tc>
          <w:tcPr>
            <w:tcW w:w="1609" w:type="dxa"/>
          </w:tcPr>
          <w:p w14:paraId="1C538C73" w14:textId="77777777" w:rsidR="00FA43E9" w:rsidRPr="007F6CDE" w:rsidRDefault="00FA43E9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C3FE627" w14:textId="77777777" w:rsidR="00FA43E9" w:rsidRPr="007F6CDE" w:rsidRDefault="00FA43E9" w:rsidP="00ED27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4A6D3FDB" w14:textId="77777777" w:rsidR="00FA43E9" w:rsidRPr="007F6CDE" w:rsidRDefault="00FA43E9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5C379EA8" w14:textId="77777777" w:rsidR="00FA43E9" w:rsidRPr="007F6CDE" w:rsidRDefault="00FA43E9" w:rsidP="00ED274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F24F805" w14:textId="288DF543" w:rsidR="00ED2748" w:rsidRDefault="00ED2748" w:rsidP="00BF35A7">
      <w:pPr>
        <w:spacing w:line="276" w:lineRule="auto"/>
        <w:rPr>
          <w:rFonts w:ascii="Arial" w:hAnsi="Arial" w:cs="Arial"/>
          <w:b/>
        </w:rPr>
      </w:pPr>
    </w:p>
    <w:p w14:paraId="20C7C846" w14:textId="1952A5AD" w:rsidR="00ED2748" w:rsidRDefault="00ED27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AD0BA6" w14:textId="7E571D19" w:rsidR="00AE0A49" w:rsidRPr="007F6CDE" w:rsidRDefault="00AE0A49" w:rsidP="00BF35A7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lastRenderedPageBreak/>
        <w:t xml:space="preserve">Anexo </w:t>
      </w:r>
      <w:r w:rsidR="00ED2748">
        <w:rPr>
          <w:rFonts w:ascii="Arial" w:hAnsi="Arial" w:cs="Arial"/>
          <w:b/>
        </w:rPr>
        <w:t xml:space="preserve">2: </w:t>
      </w:r>
      <w:r w:rsidRPr="007F6CDE">
        <w:rPr>
          <w:rFonts w:ascii="Arial" w:hAnsi="Arial" w:cs="Arial"/>
          <w:b/>
          <w:bCs/>
        </w:rPr>
        <w:t>Registro de capacitación del pro</w:t>
      </w:r>
      <w:r w:rsidR="00393776">
        <w:rPr>
          <w:rFonts w:ascii="Arial" w:hAnsi="Arial" w:cs="Arial"/>
          <w:b/>
          <w:bCs/>
        </w:rPr>
        <w:t>cedimiento</w:t>
      </w:r>
    </w:p>
    <w:p w14:paraId="0CA4CF67" w14:textId="21746590" w:rsidR="00AE0A49" w:rsidRDefault="008F02A2" w:rsidP="00BF35A7">
      <w:pPr>
        <w:spacing w:line="276" w:lineRule="auto"/>
        <w:rPr>
          <w:rFonts w:ascii="Arial" w:hAnsi="Arial" w:cs="Arial"/>
        </w:rPr>
      </w:pPr>
      <w:r w:rsidRPr="000E4CF9">
        <w:rPr>
          <w:noProof/>
        </w:rPr>
        <w:drawing>
          <wp:inline distT="0" distB="0" distL="0" distR="0" wp14:anchorId="719616FA" wp14:editId="5D0CE7AD">
            <wp:extent cx="5762625" cy="6103946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88" cy="610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024A" w14:textId="77777777" w:rsidR="006C50DF" w:rsidRDefault="006C50DF" w:rsidP="006C50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ver archivo de Registro de capacitación de procedimiento.</w:t>
      </w:r>
    </w:p>
    <w:p w14:paraId="09690109" w14:textId="77777777" w:rsidR="006C50DF" w:rsidRDefault="006C50DF" w:rsidP="00BF35A7">
      <w:pPr>
        <w:spacing w:line="276" w:lineRule="auto"/>
        <w:rPr>
          <w:rFonts w:ascii="Arial" w:hAnsi="Arial" w:cs="Arial"/>
        </w:rPr>
      </w:pPr>
    </w:p>
    <w:p w14:paraId="30FE3D99" w14:textId="77777777" w:rsidR="008F02A2" w:rsidRDefault="008F02A2" w:rsidP="008F0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C4CC53" w14:textId="4F815DF4" w:rsidR="008F02A2" w:rsidRPr="008F02A2" w:rsidRDefault="008F02A2" w:rsidP="008F0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CR"/>
        </w:rPr>
      </w:pPr>
      <w:r w:rsidRPr="008F02A2">
        <w:rPr>
          <w:rFonts w:ascii="Arial" w:hAnsi="Arial" w:cs="Arial"/>
          <w:b/>
          <w:bCs/>
        </w:rPr>
        <w:t xml:space="preserve">Anexo 3. </w:t>
      </w:r>
      <w:r w:rsidRPr="008F02A2">
        <w:rPr>
          <w:rFonts w:ascii="Arial" w:hAnsi="Arial" w:cs="Arial"/>
          <w:b/>
          <w:bCs/>
          <w:color w:val="000000"/>
          <w:lang w:val="es-CR"/>
        </w:rPr>
        <w:t>Medicamentos para el tratamiento de reacciones alérgicas moderadas y/o graves.</w:t>
      </w:r>
    </w:p>
    <w:p w14:paraId="7CDF64DD" w14:textId="77777777" w:rsidR="008F02A2" w:rsidRPr="008F02A2" w:rsidRDefault="008F02A2" w:rsidP="008F0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CR"/>
        </w:rPr>
      </w:pPr>
    </w:p>
    <w:p w14:paraId="32B2A383" w14:textId="0F3EE8BA" w:rsidR="008F02A2" w:rsidRPr="008F02A2" w:rsidRDefault="008F02A2" w:rsidP="00BF35A7">
      <w:pPr>
        <w:spacing w:line="276" w:lineRule="auto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B72D3DA" wp14:editId="52061C88">
            <wp:extent cx="5971540" cy="28041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2A2" w:rsidRPr="008F02A2" w:rsidSect="00E21F24">
      <w:headerReference w:type="default" r:id="rId16"/>
      <w:footerReference w:type="default" r:id="rId17"/>
      <w:headerReference w:type="first" r:id="rId18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6CAE" w14:textId="77777777" w:rsidR="002F722C" w:rsidRDefault="002F722C" w:rsidP="0074140F">
      <w:pPr>
        <w:spacing w:after="0" w:line="240" w:lineRule="auto"/>
      </w:pPr>
      <w:r>
        <w:separator/>
      </w:r>
    </w:p>
  </w:endnote>
  <w:endnote w:type="continuationSeparator" w:id="0">
    <w:p w14:paraId="123EEDAF" w14:textId="77777777" w:rsidR="002F722C" w:rsidRDefault="002F722C" w:rsidP="0074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7876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90AE7" w14:textId="77777777" w:rsidR="000361E0" w:rsidRDefault="000361E0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42E23" w14:textId="77777777" w:rsidR="000361E0" w:rsidRDefault="00036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36BD5" w14:textId="77777777" w:rsidR="002F722C" w:rsidRDefault="002F722C" w:rsidP="0074140F">
      <w:pPr>
        <w:spacing w:after="0" w:line="240" w:lineRule="auto"/>
      </w:pPr>
      <w:r>
        <w:separator/>
      </w:r>
    </w:p>
  </w:footnote>
  <w:footnote w:type="continuationSeparator" w:id="0">
    <w:p w14:paraId="06F1782C" w14:textId="77777777" w:rsidR="002F722C" w:rsidRDefault="002F722C" w:rsidP="0074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942"/>
      <w:gridCol w:w="2943"/>
      <w:gridCol w:w="3608"/>
    </w:tblGrid>
    <w:tr w:rsidR="000361E0" w14:paraId="4F8EBDA7" w14:textId="77777777" w:rsidTr="00ED2748">
      <w:tc>
        <w:tcPr>
          <w:tcW w:w="2942" w:type="dxa"/>
        </w:tcPr>
        <w:p w14:paraId="781920D1" w14:textId="039B0876" w:rsidR="000361E0" w:rsidRPr="00FB700D" w:rsidRDefault="000361E0" w:rsidP="00250745">
          <w:pPr>
            <w:pStyle w:val="Header"/>
            <w:rPr>
              <w:b/>
              <w:bCs/>
            </w:rPr>
          </w:pPr>
          <w:r w:rsidRPr="00FB700D">
            <w:rPr>
              <w:b/>
              <w:bCs/>
              <w:color w:val="FF0000"/>
            </w:rPr>
            <w:t>[LOGO]</w:t>
          </w:r>
        </w:p>
      </w:tc>
      <w:tc>
        <w:tcPr>
          <w:tcW w:w="2943" w:type="dxa"/>
        </w:tcPr>
        <w:p w14:paraId="770CE038" w14:textId="77777777" w:rsidR="000361E0" w:rsidRPr="007E5E0C" w:rsidRDefault="000361E0" w:rsidP="00250745">
          <w:pPr>
            <w:spacing w:line="276" w:lineRule="auto"/>
            <w:jc w:val="center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[colocar nombre del establecimiento]</w:t>
          </w:r>
        </w:p>
      </w:tc>
      <w:tc>
        <w:tcPr>
          <w:tcW w:w="3608" w:type="dxa"/>
        </w:tcPr>
        <w:p w14:paraId="4402AC92" w14:textId="7F3F6F0E" w:rsidR="000361E0" w:rsidRDefault="000361E0" w:rsidP="00250745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Versión N°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35A329FE" w14:textId="77777777" w:rsidR="000361E0" w:rsidRDefault="000361E0" w:rsidP="00250745">
          <w:pPr>
            <w:pStyle w:val="Header"/>
          </w:pPr>
        </w:p>
      </w:tc>
    </w:tr>
    <w:tr w:rsidR="000361E0" w14:paraId="2AFC0B79" w14:textId="77777777" w:rsidTr="00ED2748">
      <w:trPr>
        <w:trHeight w:val="778"/>
      </w:trPr>
      <w:tc>
        <w:tcPr>
          <w:tcW w:w="5885" w:type="dxa"/>
          <w:gridSpan w:val="2"/>
        </w:tcPr>
        <w:p w14:paraId="320E9B57" w14:textId="53820CCC" w:rsidR="000361E0" w:rsidRDefault="000361E0" w:rsidP="00250745">
          <w:pPr>
            <w:spacing w:line="276" w:lineRule="auto"/>
          </w:pPr>
          <w:r>
            <w:rPr>
              <w:rFonts w:ascii="Arial" w:hAnsi="Arial" w:cs="Arial"/>
              <w:b/>
              <w:sz w:val="28"/>
              <w:szCs w:val="28"/>
            </w:rPr>
            <w:t>P</w:t>
          </w:r>
          <w:r w:rsidRPr="007F6CDE">
            <w:rPr>
              <w:rFonts w:ascii="Arial" w:hAnsi="Arial" w:cs="Arial"/>
              <w:b/>
              <w:sz w:val="28"/>
              <w:szCs w:val="28"/>
            </w:rPr>
            <w:t>r</w:t>
          </w:r>
          <w:r>
            <w:rPr>
              <w:rFonts w:ascii="Arial" w:hAnsi="Arial" w:cs="Arial"/>
              <w:b/>
              <w:sz w:val="28"/>
              <w:szCs w:val="28"/>
            </w:rPr>
            <w:t>ocedimiento</w:t>
          </w:r>
          <w:r w:rsidRPr="007F6CDE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para la </w:t>
          </w:r>
          <w:r w:rsidRPr="007F6CDE">
            <w:rPr>
              <w:rFonts w:ascii="Arial" w:hAnsi="Arial" w:cs="Arial"/>
              <w:b/>
              <w:sz w:val="28"/>
              <w:szCs w:val="28"/>
            </w:rPr>
            <w:t>elaboración del pr</w:t>
          </w:r>
          <w:r>
            <w:rPr>
              <w:rFonts w:ascii="Arial" w:hAnsi="Arial" w:cs="Arial"/>
              <w:b/>
              <w:sz w:val="28"/>
              <w:szCs w:val="28"/>
            </w:rPr>
            <w:t>ocedimiento</w:t>
          </w:r>
          <w:r w:rsidRPr="007F6CDE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de manejo de choque anafiláctico en farmacias</w:t>
          </w:r>
        </w:p>
      </w:tc>
      <w:tc>
        <w:tcPr>
          <w:tcW w:w="3608" w:type="dxa"/>
        </w:tcPr>
        <w:p w14:paraId="0637EFED" w14:textId="52C392FA" w:rsidR="000361E0" w:rsidRPr="00AF12B3" w:rsidRDefault="000361E0" w:rsidP="00AF12B3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AF12B3">
            <w:rPr>
              <w:rFonts w:ascii="Arial" w:hAnsi="Arial" w:cs="Arial"/>
              <w:b/>
              <w:bCs/>
            </w:rPr>
            <w:t>Fecha de creación: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elaboración del pro</w:t>
          </w:r>
          <w:r>
            <w:rPr>
              <w:rFonts w:ascii="Arial" w:hAnsi="Arial" w:cs="Arial"/>
              <w:b/>
              <w:bCs/>
              <w:color w:val="FF0000"/>
            </w:rPr>
            <w:t>cedimiento</w:t>
          </w:r>
          <w:r w:rsidRPr="00AF12B3">
            <w:rPr>
              <w:rFonts w:ascii="Arial" w:hAnsi="Arial" w:cs="Arial"/>
              <w:b/>
              <w:bCs/>
              <w:color w:val="FF0000"/>
            </w:rPr>
            <w:t>]</w:t>
          </w:r>
        </w:p>
      </w:tc>
    </w:tr>
    <w:tr w:rsidR="000361E0" w14:paraId="2805CA40" w14:textId="77777777" w:rsidTr="00ED2748">
      <w:trPr>
        <w:trHeight w:val="778"/>
      </w:trPr>
      <w:tc>
        <w:tcPr>
          <w:tcW w:w="5885" w:type="dxa"/>
          <w:gridSpan w:val="2"/>
        </w:tcPr>
        <w:p w14:paraId="2CED8A96" w14:textId="11B23E2E" w:rsidR="000361E0" w:rsidRDefault="000361E0" w:rsidP="00AF12B3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Elaborado por: </w:t>
          </w: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Colocar nombre y firma de la persona que elaboró el procedimiento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1EFE5445" w14:textId="77777777" w:rsidR="000361E0" w:rsidRPr="009F045C" w:rsidRDefault="000361E0" w:rsidP="00250745">
          <w:pPr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608" w:type="dxa"/>
        </w:tcPr>
        <w:p w14:paraId="1DF3AB78" w14:textId="03622D80" w:rsidR="000361E0" w:rsidRPr="001E04BD" w:rsidRDefault="000361E0" w:rsidP="00250745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Fecha de próxima revisión: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la próxima revisión]</w:t>
          </w:r>
        </w:p>
      </w:tc>
    </w:tr>
  </w:tbl>
  <w:p w14:paraId="2250F986" w14:textId="77777777" w:rsidR="000361E0" w:rsidRDefault="00036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8275" w14:textId="77777777" w:rsidR="000361E0" w:rsidRPr="00C93C5A" w:rsidRDefault="000361E0" w:rsidP="0025074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60AD944B" wp14:editId="7E1EEF7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294818" cy="657225"/>
          <wp:effectExtent l="0" t="0" r="635" b="0"/>
          <wp:wrapTight wrapText="bothSides">
            <wp:wrapPolygon edited="0">
              <wp:start x="0" y="0"/>
              <wp:lineTo x="0" y="20661"/>
              <wp:lineTo x="21293" y="20661"/>
              <wp:lineTo x="2129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COLF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18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rFonts w:ascii="Arial" w:hAnsi="Arial" w:cs="Arial"/>
        <w:b/>
        <w:bCs/>
        <w:noProof/>
        <w:lang w:eastAsia="es-ES"/>
      </w:rPr>
      <w:t xml:space="preserve">  </w:t>
    </w:r>
    <w:r w:rsidRPr="00C93C5A">
      <w:rPr>
        <w:rFonts w:ascii="Arial" w:hAnsi="Arial" w:cs="Arial"/>
        <w:b/>
        <w:bCs/>
      </w:rPr>
      <w:t>Colegio de Farmacéuticos de Costa Rica</w:t>
    </w:r>
  </w:p>
  <w:p w14:paraId="011C838C" w14:textId="77777777" w:rsidR="000361E0" w:rsidRPr="00C93C5A" w:rsidRDefault="000361E0" w:rsidP="0025074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Departamento de Fiscalía</w:t>
    </w:r>
  </w:p>
  <w:p w14:paraId="3DEF3873" w14:textId="62C4803D" w:rsidR="000361E0" w:rsidRPr="00C93C5A" w:rsidRDefault="000361E0" w:rsidP="0025074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20</w:t>
    </w:r>
  </w:p>
  <w:p w14:paraId="1D555C29" w14:textId="77777777" w:rsidR="000361E0" w:rsidRDefault="000361E0" w:rsidP="00741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ED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8D2E14"/>
    <w:multiLevelType w:val="hybridMultilevel"/>
    <w:tmpl w:val="EBBEA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9DA"/>
    <w:multiLevelType w:val="hybridMultilevel"/>
    <w:tmpl w:val="E84A2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35B4"/>
    <w:multiLevelType w:val="hybridMultilevel"/>
    <w:tmpl w:val="149A99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F357C"/>
    <w:multiLevelType w:val="hybridMultilevel"/>
    <w:tmpl w:val="0F405F0E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92E27"/>
    <w:multiLevelType w:val="multilevel"/>
    <w:tmpl w:val="7114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22EC0149"/>
    <w:multiLevelType w:val="hybridMultilevel"/>
    <w:tmpl w:val="DF3EF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7625A"/>
    <w:multiLevelType w:val="hybridMultilevel"/>
    <w:tmpl w:val="B72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6F2F"/>
    <w:multiLevelType w:val="hybridMultilevel"/>
    <w:tmpl w:val="58C4E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53FB6"/>
    <w:multiLevelType w:val="hybridMultilevel"/>
    <w:tmpl w:val="CA1C2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41C6"/>
    <w:multiLevelType w:val="singleLevel"/>
    <w:tmpl w:val="1666BD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1B6F2C"/>
    <w:multiLevelType w:val="hybridMultilevel"/>
    <w:tmpl w:val="85D26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D68"/>
    <w:multiLevelType w:val="hybridMultilevel"/>
    <w:tmpl w:val="8E28F59E"/>
    <w:lvl w:ilvl="0" w:tplc="D3646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4E6B"/>
    <w:multiLevelType w:val="hybridMultilevel"/>
    <w:tmpl w:val="5F8E5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072"/>
    <w:multiLevelType w:val="multilevel"/>
    <w:tmpl w:val="0C88F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98479F"/>
    <w:multiLevelType w:val="hybridMultilevel"/>
    <w:tmpl w:val="D62CF2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082953"/>
    <w:multiLevelType w:val="hybridMultilevel"/>
    <w:tmpl w:val="0D860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18A6"/>
    <w:multiLevelType w:val="hybridMultilevel"/>
    <w:tmpl w:val="9314D92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D3440"/>
    <w:multiLevelType w:val="hybridMultilevel"/>
    <w:tmpl w:val="4D342AB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E818FE"/>
    <w:multiLevelType w:val="hybridMultilevel"/>
    <w:tmpl w:val="E9F4C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84CDF"/>
    <w:multiLevelType w:val="hybridMultilevel"/>
    <w:tmpl w:val="97087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7BC8"/>
    <w:multiLevelType w:val="hybridMultilevel"/>
    <w:tmpl w:val="17C2DD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05447"/>
    <w:multiLevelType w:val="multilevel"/>
    <w:tmpl w:val="E84A0B0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61DA42A1"/>
    <w:multiLevelType w:val="hybridMultilevel"/>
    <w:tmpl w:val="1A86D2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56884"/>
    <w:multiLevelType w:val="hybridMultilevel"/>
    <w:tmpl w:val="C366AA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492B"/>
    <w:multiLevelType w:val="hybridMultilevel"/>
    <w:tmpl w:val="955C5282"/>
    <w:lvl w:ilvl="0" w:tplc="93FCBE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45C5C"/>
    <w:multiLevelType w:val="hybridMultilevel"/>
    <w:tmpl w:val="1E90F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F50B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011720"/>
    <w:multiLevelType w:val="hybridMultilevel"/>
    <w:tmpl w:val="AB100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B59AF"/>
    <w:multiLevelType w:val="multilevel"/>
    <w:tmpl w:val="0C88F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3"/>
  </w:num>
  <w:num w:numId="5">
    <w:abstractNumId w:val="10"/>
  </w:num>
  <w:num w:numId="6">
    <w:abstractNumId w:val="1"/>
  </w:num>
  <w:num w:numId="7">
    <w:abstractNumId w:val="28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6"/>
  </w:num>
  <w:num w:numId="13">
    <w:abstractNumId w:val="20"/>
  </w:num>
  <w:num w:numId="14">
    <w:abstractNumId w:val="26"/>
  </w:num>
  <w:num w:numId="15">
    <w:abstractNumId w:val="19"/>
  </w:num>
  <w:num w:numId="16">
    <w:abstractNumId w:val="12"/>
  </w:num>
  <w:num w:numId="17">
    <w:abstractNumId w:val="18"/>
  </w:num>
  <w:num w:numId="18">
    <w:abstractNumId w:val="15"/>
  </w:num>
  <w:num w:numId="19">
    <w:abstractNumId w:val="4"/>
  </w:num>
  <w:num w:numId="20">
    <w:abstractNumId w:val="23"/>
  </w:num>
  <w:num w:numId="21">
    <w:abstractNumId w:val="9"/>
  </w:num>
  <w:num w:numId="22">
    <w:abstractNumId w:val="22"/>
  </w:num>
  <w:num w:numId="23">
    <w:abstractNumId w:val="0"/>
  </w:num>
  <w:num w:numId="24">
    <w:abstractNumId w:val="27"/>
  </w:num>
  <w:num w:numId="25">
    <w:abstractNumId w:val="25"/>
  </w:num>
  <w:num w:numId="26">
    <w:abstractNumId w:val="17"/>
  </w:num>
  <w:num w:numId="27">
    <w:abstractNumId w:val="14"/>
  </w:num>
  <w:num w:numId="28">
    <w:abstractNumId w:val="29"/>
  </w:num>
  <w:num w:numId="29">
    <w:abstractNumId w:val="5"/>
  </w:num>
  <w:num w:numId="3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1"/>
    <w:rsid w:val="00004674"/>
    <w:rsid w:val="00011712"/>
    <w:rsid w:val="00015E91"/>
    <w:rsid w:val="000309A9"/>
    <w:rsid w:val="00033840"/>
    <w:rsid w:val="000361E0"/>
    <w:rsid w:val="0005192E"/>
    <w:rsid w:val="000623C3"/>
    <w:rsid w:val="00072FB1"/>
    <w:rsid w:val="00080A80"/>
    <w:rsid w:val="0008724A"/>
    <w:rsid w:val="00090E69"/>
    <w:rsid w:val="000B1650"/>
    <w:rsid w:val="000C3F4A"/>
    <w:rsid w:val="000E248C"/>
    <w:rsid w:val="000E5298"/>
    <w:rsid w:val="000F2124"/>
    <w:rsid w:val="000F45CB"/>
    <w:rsid w:val="000F6687"/>
    <w:rsid w:val="00112A31"/>
    <w:rsid w:val="00117F51"/>
    <w:rsid w:val="0012429C"/>
    <w:rsid w:val="0013538D"/>
    <w:rsid w:val="0014542C"/>
    <w:rsid w:val="0015059B"/>
    <w:rsid w:val="00180B78"/>
    <w:rsid w:val="00180C25"/>
    <w:rsid w:val="00185458"/>
    <w:rsid w:val="00186366"/>
    <w:rsid w:val="00190DAD"/>
    <w:rsid w:val="00190EE9"/>
    <w:rsid w:val="00195D50"/>
    <w:rsid w:val="001A25D8"/>
    <w:rsid w:val="001A3503"/>
    <w:rsid w:val="001A63FA"/>
    <w:rsid w:val="001A753D"/>
    <w:rsid w:val="001C01EF"/>
    <w:rsid w:val="001D180F"/>
    <w:rsid w:val="001D4663"/>
    <w:rsid w:val="001D7890"/>
    <w:rsid w:val="001E5E4E"/>
    <w:rsid w:val="001E7B17"/>
    <w:rsid w:val="00203022"/>
    <w:rsid w:val="00217BAF"/>
    <w:rsid w:val="00223D71"/>
    <w:rsid w:val="00250745"/>
    <w:rsid w:val="002564CF"/>
    <w:rsid w:val="00257731"/>
    <w:rsid w:val="00273118"/>
    <w:rsid w:val="00273231"/>
    <w:rsid w:val="0027584D"/>
    <w:rsid w:val="00275FE3"/>
    <w:rsid w:val="00285E35"/>
    <w:rsid w:val="002A2D80"/>
    <w:rsid w:val="002B615C"/>
    <w:rsid w:val="002C6B72"/>
    <w:rsid w:val="002F6317"/>
    <w:rsid w:val="002F722C"/>
    <w:rsid w:val="00304982"/>
    <w:rsid w:val="00314BDF"/>
    <w:rsid w:val="0031517C"/>
    <w:rsid w:val="003158EE"/>
    <w:rsid w:val="00315CDA"/>
    <w:rsid w:val="00316099"/>
    <w:rsid w:val="0032542F"/>
    <w:rsid w:val="00326A2B"/>
    <w:rsid w:val="00361899"/>
    <w:rsid w:val="003844ED"/>
    <w:rsid w:val="0039027F"/>
    <w:rsid w:val="00393776"/>
    <w:rsid w:val="003A3FE0"/>
    <w:rsid w:val="003B2D89"/>
    <w:rsid w:val="003C75C0"/>
    <w:rsid w:val="003E1EA2"/>
    <w:rsid w:val="003E2C81"/>
    <w:rsid w:val="003E408E"/>
    <w:rsid w:val="003F00E9"/>
    <w:rsid w:val="003F011E"/>
    <w:rsid w:val="003F1334"/>
    <w:rsid w:val="003F22A7"/>
    <w:rsid w:val="003F61EA"/>
    <w:rsid w:val="004210C2"/>
    <w:rsid w:val="00421C56"/>
    <w:rsid w:val="00430235"/>
    <w:rsid w:val="00433E1D"/>
    <w:rsid w:val="004364DE"/>
    <w:rsid w:val="00445267"/>
    <w:rsid w:val="00451454"/>
    <w:rsid w:val="00451EA7"/>
    <w:rsid w:val="00452E72"/>
    <w:rsid w:val="0045395F"/>
    <w:rsid w:val="00457412"/>
    <w:rsid w:val="00460612"/>
    <w:rsid w:val="0047736B"/>
    <w:rsid w:val="0048091B"/>
    <w:rsid w:val="0048380D"/>
    <w:rsid w:val="0048461D"/>
    <w:rsid w:val="00490B22"/>
    <w:rsid w:val="004E30B5"/>
    <w:rsid w:val="004E3179"/>
    <w:rsid w:val="00506381"/>
    <w:rsid w:val="00510740"/>
    <w:rsid w:val="005241F9"/>
    <w:rsid w:val="005264F8"/>
    <w:rsid w:val="00533C93"/>
    <w:rsid w:val="00536615"/>
    <w:rsid w:val="00540858"/>
    <w:rsid w:val="0054288F"/>
    <w:rsid w:val="00552DB3"/>
    <w:rsid w:val="005672F1"/>
    <w:rsid w:val="005704F8"/>
    <w:rsid w:val="0057098C"/>
    <w:rsid w:val="00577F88"/>
    <w:rsid w:val="00582427"/>
    <w:rsid w:val="00583F49"/>
    <w:rsid w:val="005871F9"/>
    <w:rsid w:val="00595791"/>
    <w:rsid w:val="005A2F30"/>
    <w:rsid w:val="005D5C36"/>
    <w:rsid w:val="005D7401"/>
    <w:rsid w:val="005D7BF7"/>
    <w:rsid w:val="00607409"/>
    <w:rsid w:val="0062093D"/>
    <w:rsid w:val="00662A43"/>
    <w:rsid w:val="0066363D"/>
    <w:rsid w:val="00667E04"/>
    <w:rsid w:val="006715D7"/>
    <w:rsid w:val="0068490F"/>
    <w:rsid w:val="00686852"/>
    <w:rsid w:val="0069503D"/>
    <w:rsid w:val="006A0300"/>
    <w:rsid w:val="006B6098"/>
    <w:rsid w:val="006B6E5A"/>
    <w:rsid w:val="006C50DF"/>
    <w:rsid w:val="006D0950"/>
    <w:rsid w:val="006E0EE9"/>
    <w:rsid w:val="006E4179"/>
    <w:rsid w:val="006F24B8"/>
    <w:rsid w:val="006F2A3B"/>
    <w:rsid w:val="006F78BD"/>
    <w:rsid w:val="0070759D"/>
    <w:rsid w:val="0072537A"/>
    <w:rsid w:val="00733B8B"/>
    <w:rsid w:val="0074140F"/>
    <w:rsid w:val="0074227A"/>
    <w:rsid w:val="0075054C"/>
    <w:rsid w:val="007535F4"/>
    <w:rsid w:val="0076141E"/>
    <w:rsid w:val="007673DB"/>
    <w:rsid w:val="00773D85"/>
    <w:rsid w:val="007A4B56"/>
    <w:rsid w:val="007B277F"/>
    <w:rsid w:val="007B5047"/>
    <w:rsid w:val="007B50E8"/>
    <w:rsid w:val="007C10DF"/>
    <w:rsid w:val="007E71F6"/>
    <w:rsid w:val="007F5C8D"/>
    <w:rsid w:val="007F6CDE"/>
    <w:rsid w:val="00815462"/>
    <w:rsid w:val="00827ED5"/>
    <w:rsid w:val="00847F74"/>
    <w:rsid w:val="008527E2"/>
    <w:rsid w:val="00855E9E"/>
    <w:rsid w:val="00856204"/>
    <w:rsid w:val="00856709"/>
    <w:rsid w:val="00871BE4"/>
    <w:rsid w:val="00877558"/>
    <w:rsid w:val="00877642"/>
    <w:rsid w:val="00880741"/>
    <w:rsid w:val="00886351"/>
    <w:rsid w:val="008B0F46"/>
    <w:rsid w:val="008B1D9F"/>
    <w:rsid w:val="008C6503"/>
    <w:rsid w:val="008D0B71"/>
    <w:rsid w:val="008F02A2"/>
    <w:rsid w:val="00900D74"/>
    <w:rsid w:val="009115C5"/>
    <w:rsid w:val="00925F2D"/>
    <w:rsid w:val="00936F57"/>
    <w:rsid w:val="00940B5D"/>
    <w:rsid w:val="00947F27"/>
    <w:rsid w:val="00974BF7"/>
    <w:rsid w:val="009802D2"/>
    <w:rsid w:val="00981143"/>
    <w:rsid w:val="009A7438"/>
    <w:rsid w:val="009C3FCB"/>
    <w:rsid w:val="009C6C7F"/>
    <w:rsid w:val="009D38A9"/>
    <w:rsid w:val="009E6C82"/>
    <w:rsid w:val="009F045C"/>
    <w:rsid w:val="009F5E4F"/>
    <w:rsid w:val="00A00E71"/>
    <w:rsid w:val="00A06708"/>
    <w:rsid w:val="00A1006D"/>
    <w:rsid w:val="00A146A6"/>
    <w:rsid w:val="00A217DF"/>
    <w:rsid w:val="00A24533"/>
    <w:rsid w:val="00A32E28"/>
    <w:rsid w:val="00A438E3"/>
    <w:rsid w:val="00A505B0"/>
    <w:rsid w:val="00A71211"/>
    <w:rsid w:val="00A83917"/>
    <w:rsid w:val="00A87030"/>
    <w:rsid w:val="00A9324B"/>
    <w:rsid w:val="00AB0E4C"/>
    <w:rsid w:val="00AB2735"/>
    <w:rsid w:val="00AC522E"/>
    <w:rsid w:val="00AD1B35"/>
    <w:rsid w:val="00AD2617"/>
    <w:rsid w:val="00AE0A49"/>
    <w:rsid w:val="00AE3138"/>
    <w:rsid w:val="00AF12B3"/>
    <w:rsid w:val="00B003AE"/>
    <w:rsid w:val="00B02E55"/>
    <w:rsid w:val="00B15130"/>
    <w:rsid w:val="00B321DA"/>
    <w:rsid w:val="00B42A66"/>
    <w:rsid w:val="00B55160"/>
    <w:rsid w:val="00B62A99"/>
    <w:rsid w:val="00B65D7C"/>
    <w:rsid w:val="00B71456"/>
    <w:rsid w:val="00B8187B"/>
    <w:rsid w:val="00B820A8"/>
    <w:rsid w:val="00BB3C84"/>
    <w:rsid w:val="00BB5089"/>
    <w:rsid w:val="00BC03CC"/>
    <w:rsid w:val="00BE592D"/>
    <w:rsid w:val="00BE6A37"/>
    <w:rsid w:val="00BE781B"/>
    <w:rsid w:val="00BF35A7"/>
    <w:rsid w:val="00C02CCF"/>
    <w:rsid w:val="00C15552"/>
    <w:rsid w:val="00C17AEF"/>
    <w:rsid w:val="00C35622"/>
    <w:rsid w:val="00C3779B"/>
    <w:rsid w:val="00C40F10"/>
    <w:rsid w:val="00C65F38"/>
    <w:rsid w:val="00C95676"/>
    <w:rsid w:val="00CC06AF"/>
    <w:rsid w:val="00CE5ECF"/>
    <w:rsid w:val="00CF4642"/>
    <w:rsid w:val="00CF708D"/>
    <w:rsid w:val="00D02A4F"/>
    <w:rsid w:val="00D04EFF"/>
    <w:rsid w:val="00D11538"/>
    <w:rsid w:val="00D15C28"/>
    <w:rsid w:val="00D239CE"/>
    <w:rsid w:val="00D30555"/>
    <w:rsid w:val="00D37598"/>
    <w:rsid w:val="00D37ADD"/>
    <w:rsid w:val="00D93BFC"/>
    <w:rsid w:val="00DA27B7"/>
    <w:rsid w:val="00DE2CB7"/>
    <w:rsid w:val="00DF1019"/>
    <w:rsid w:val="00E2097E"/>
    <w:rsid w:val="00E21F24"/>
    <w:rsid w:val="00E31213"/>
    <w:rsid w:val="00E31BCE"/>
    <w:rsid w:val="00E601F0"/>
    <w:rsid w:val="00E640BE"/>
    <w:rsid w:val="00E66A9E"/>
    <w:rsid w:val="00E7531F"/>
    <w:rsid w:val="00E7780F"/>
    <w:rsid w:val="00E84771"/>
    <w:rsid w:val="00EC0569"/>
    <w:rsid w:val="00EC573A"/>
    <w:rsid w:val="00ED2748"/>
    <w:rsid w:val="00EE5C88"/>
    <w:rsid w:val="00EE7951"/>
    <w:rsid w:val="00EF481E"/>
    <w:rsid w:val="00F0471C"/>
    <w:rsid w:val="00F067D4"/>
    <w:rsid w:val="00F071AE"/>
    <w:rsid w:val="00F143D3"/>
    <w:rsid w:val="00F20043"/>
    <w:rsid w:val="00F2072E"/>
    <w:rsid w:val="00F23B57"/>
    <w:rsid w:val="00F26DAB"/>
    <w:rsid w:val="00F27EE3"/>
    <w:rsid w:val="00F31E90"/>
    <w:rsid w:val="00F41DA6"/>
    <w:rsid w:val="00F70010"/>
    <w:rsid w:val="00F93831"/>
    <w:rsid w:val="00F93B5F"/>
    <w:rsid w:val="00FA2534"/>
    <w:rsid w:val="00FA43E9"/>
    <w:rsid w:val="00FB5960"/>
    <w:rsid w:val="00FB700D"/>
    <w:rsid w:val="00FE7E9E"/>
    <w:rsid w:val="00FF005C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518F"/>
  <w15:chartTrackingRefBased/>
  <w15:docId w15:val="{8CCB512D-3D94-463B-A984-100E936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3C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254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AE0A49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0F"/>
  </w:style>
  <w:style w:type="paragraph" w:styleId="Footer">
    <w:name w:val="footer"/>
    <w:basedOn w:val="Normal"/>
    <w:link w:val="FooterChar"/>
    <w:uiPriority w:val="99"/>
    <w:unhideWhenUsed/>
    <w:rsid w:val="00741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0F"/>
  </w:style>
  <w:style w:type="table" w:styleId="GridTable4-Accent5">
    <w:name w:val="Grid Table 4 Accent 5"/>
    <w:basedOn w:val="TableNormal"/>
    <w:uiPriority w:val="49"/>
    <w:rsid w:val="00827ED5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D38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 w:eastAsia="es-CR"/>
    </w:rPr>
  </w:style>
  <w:style w:type="paragraph" w:styleId="Bibliography">
    <w:name w:val="Bibliography"/>
    <w:basedOn w:val="Normal"/>
    <w:next w:val="Normal"/>
    <w:uiPriority w:val="37"/>
    <w:unhideWhenUsed/>
    <w:rsid w:val="009D38A9"/>
  </w:style>
  <w:style w:type="paragraph" w:styleId="BalloonText">
    <w:name w:val="Balloon Text"/>
    <w:basedOn w:val="Normal"/>
    <w:link w:val="BalloonTextChar"/>
    <w:uiPriority w:val="99"/>
    <w:semiHidden/>
    <w:unhideWhenUsed/>
    <w:rsid w:val="00AE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4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rchives.who.int/eml/wmf/2004/Spanish/pdf/Sec3-04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o.int/topics/vaccines/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465398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dle.rae.es/?id=1rm36t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bi.nlm.nih.gov/pmc/articles/PMC3209676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Man04</b:Tag>
    <b:SourceType>ArticleInAPeriodical</b:SourceType>
    <b:Guid>{E59CFEDF-3DFA-4296-9992-17D7C8E8F670}</b:Guid>
    <b:Title>Manual de normas para la habilitación de farmacias</b:Title>
    <b:PeriodicalTitle>Diario Oficial La Gaceta</b:PeriodicalTitle>
    <b:Year>2004</b:Year>
    <b:Month>septiembre</b:Month>
    <b:Day>7</b:Day>
    <b:RefOrder>3</b:RefOrder>
  </b:Source>
  <b:Source>
    <b:Tag>Caj11</b:Tag>
    <b:SourceType>DocumentFromInternetSite</b:SourceType>
    <b:Guid>{475F82D2-30D3-40B0-BD56-E6ACFBAA1305}</b:Guid>
    <b:Author>
      <b:Author>
        <b:Corporate>Caja Costarricense del Seguro Social</b:Corporate>
      </b:Author>
    </b:Author>
    <b:Title>Norma para el manejo de desechos peligrosos en establecimientos de salud</b:Title>
    <b:Year>2011</b:Year>
    <b:URL>https://www.ccss.sa.cr/normativa</b:URL>
    <b:RefOrder>4</b:RefOrder>
  </b:Source>
  <b:Source>
    <b:Tag>Reg101</b:Tag>
    <b:SourceType>ArticleInAPeriodical</b:SourceType>
    <b:Guid>{F69B968A-9DF5-403B-A0C6-4D7D9A6A2BBE}</b:Guid>
    <b:Title>Reglamento sobre el manejo de residuos sólidos ordinarios</b:Title>
    <b:Year>2010</b:Year>
    <b:Month>Agosto</b:Month>
    <b:Day>16</b:Day>
    <b:PeriodicalTitle>Diario Oficial La Gaceta</b:PeriodicalTitle>
    <b:RefOrder>1</b:RefOrder>
  </b:Source>
  <b:Source>
    <b:Tag>Reg03</b:Tag>
    <b:SourceType>ArticleInAPeriodical</b:SourceType>
    <b:Guid>{B7F9BACE-622E-4F31-B6B9-30BA77475F5D}</b:Guid>
    <b:Title>Reglamento sobre la gestión de los desechos infectocontagiosos que se generan en establecimientos que prestan atención a la salud y afines</b:Title>
    <b:PeriodicalTitle>Diario Oficial La Gaceta</b:PeriodicalTitle>
    <b:Year>2003</b:Year>
    <b:Month>febrero</b:Month>
    <b:Day>3</b:Day>
    <b:RefOrder>2</b:RefOrder>
  </b:Source>
</b:Sources>
</file>

<file path=customXml/itemProps1.xml><?xml version="1.0" encoding="utf-8"?>
<ds:datastoreItem xmlns:ds="http://schemas.openxmlformats.org/officeDocument/2006/customXml" ds:itemID="{C071789D-15D7-4D8E-B415-24215EBA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1761</Words>
  <Characters>9687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2</cp:revision>
  <dcterms:created xsi:type="dcterms:W3CDTF">2020-07-27T02:33:00Z</dcterms:created>
  <dcterms:modified xsi:type="dcterms:W3CDTF">2020-07-27T02:33:00Z</dcterms:modified>
</cp:coreProperties>
</file>